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4" w:type="dxa"/>
        <w:tblLayout w:type="fixed"/>
        <w:tblCellMar>
          <w:left w:w="14" w:type="dxa"/>
          <w:right w:w="14" w:type="dxa"/>
        </w:tblCellMar>
        <w:tblLook w:val="0000" w:firstRow="0" w:lastRow="0" w:firstColumn="0" w:lastColumn="0" w:noHBand="0" w:noVBand="0"/>
      </w:tblPr>
      <w:tblGrid>
        <w:gridCol w:w="581"/>
        <w:gridCol w:w="473"/>
        <w:gridCol w:w="540"/>
        <w:gridCol w:w="739"/>
        <w:gridCol w:w="7041"/>
      </w:tblGrid>
      <w:tr w:rsidR="00A25830" w:rsidTr="00282096">
        <w:tc>
          <w:tcPr>
            <w:tcW w:w="9374" w:type="dxa"/>
            <w:gridSpan w:val="5"/>
          </w:tcPr>
          <w:p w:rsidR="00A25830" w:rsidRDefault="00A25830" w:rsidP="00282096">
            <w:pPr>
              <w:spacing w:line="260" w:lineRule="exact"/>
              <w:jc w:val="both"/>
              <w:rPr>
                <w:b/>
                <w:sz w:val="28"/>
              </w:rPr>
            </w:pPr>
            <w:r>
              <w:rPr>
                <w:b/>
                <w:sz w:val="28"/>
              </w:rPr>
              <w:t>LYSAGHT GALVANIZED STEEL BHD (46426-P)</w:t>
            </w:r>
          </w:p>
        </w:tc>
      </w:tr>
      <w:tr w:rsidR="00A25830" w:rsidTr="00282096">
        <w:tc>
          <w:tcPr>
            <w:tcW w:w="9374" w:type="dxa"/>
            <w:gridSpan w:val="5"/>
          </w:tcPr>
          <w:p w:rsidR="00A25830" w:rsidRDefault="00A25830" w:rsidP="00282096">
            <w:pPr>
              <w:spacing w:line="260" w:lineRule="exact"/>
              <w:jc w:val="both"/>
              <w:rPr>
                <w:b/>
                <w:sz w:val="28"/>
              </w:rPr>
            </w:pPr>
          </w:p>
        </w:tc>
      </w:tr>
      <w:tr w:rsidR="00A25830" w:rsidTr="00282096">
        <w:tc>
          <w:tcPr>
            <w:tcW w:w="9374" w:type="dxa"/>
            <w:gridSpan w:val="5"/>
          </w:tcPr>
          <w:p w:rsidR="00A25830" w:rsidRDefault="00A25830" w:rsidP="00282096">
            <w:pPr>
              <w:spacing w:line="260" w:lineRule="exact"/>
              <w:jc w:val="both"/>
              <w:rPr>
                <w:b/>
                <w:sz w:val="28"/>
                <w:u w:val="single"/>
              </w:rPr>
            </w:pPr>
          </w:p>
        </w:tc>
      </w:tr>
      <w:tr w:rsidR="00A25830" w:rsidTr="00282096">
        <w:tc>
          <w:tcPr>
            <w:tcW w:w="9374" w:type="dxa"/>
            <w:gridSpan w:val="5"/>
          </w:tcPr>
          <w:p w:rsidR="00A25830" w:rsidRDefault="00A25830" w:rsidP="00282096">
            <w:pPr>
              <w:spacing w:line="260" w:lineRule="exact"/>
              <w:jc w:val="both"/>
              <w:rPr>
                <w:sz w:val="28"/>
              </w:rPr>
            </w:pPr>
            <w:r>
              <w:rPr>
                <w:b/>
                <w:sz w:val="28"/>
                <w:u w:val="single"/>
              </w:rPr>
              <w:t>Explanatory notes</w:t>
            </w:r>
            <w:r w:rsidR="00B8003E">
              <w:rPr>
                <w:b/>
                <w:sz w:val="28"/>
                <w:u w:val="single"/>
              </w:rPr>
              <w:t xml:space="preserve"> pursuant to MFRS 134</w:t>
            </w:r>
          </w:p>
          <w:p w:rsidR="00B8003E" w:rsidRDefault="00B8003E" w:rsidP="00282096">
            <w:pPr>
              <w:spacing w:line="260" w:lineRule="exact"/>
              <w:jc w:val="both"/>
              <w:rPr>
                <w:sz w:val="28"/>
              </w:rPr>
            </w:pPr>
          </w:p>
          <w:p w:rsidR="00B8003E" w:rsidRPr="00B8003E" w:rsidRDefault="00B8003E" w:rsidP="00FD46BE">
            <w:pPr>
              <w:spacing w:line="260" w:lineRule="exact"/>
              <w:jc w:val="both"/>
              <w:rPr>
                <w:sz w:val="28"/>
              </w:rPr>
            </w:pPr>
            <w:r>
              <w:rPr>
                <w:sz w:val="28"/>
              </w:rPr>
              <w:t xml:space="preserve">For the </w:t>
            </w:r>
            <w:r w:rsidR="00FD46BE">
              <w:rPr>
                <w:sz w:val="28"/>
              </w:rPr>
              <w:t>three</w:t>
            </w:r>
            <w:r w:rsidR="00C659F1">
              <w:rPr>
                <w:sz w:val="28"/>
              </w:rPr>
              <w:t>-m</w:t>
            </w:r>
            <w:r>
              <w:rPr>
                <w:sz w:val="28"/>
              </w:rPr>
              <w:t xml:space="preserve">onth </w:t>
            </w:r>
            <w:r w:rsidR="00C659F1">
              <w:rPr>
                <w:sz w:val="28"/>
              </w:rPr>
              <w:t xml:space="preserve">financial </w:t>
            </w:r>
            <w:r w:rsidR="00FD46BE">
              <w:rPr>
                <w:sz w:val="28"/>
              </w:rPr>
              <w:t xml:space="preserve">period </w:t>
            </w:r>
            <w:r>
              <w:rPr>
                <w:sz w:val="28"/>
              </w:rPr>
              <w:t>ended 3</w:t>
            </w:r>
            <w:r w:rsidR="00C659F1">
              <w:rPr>
                <w:sz w:val="28"/>
              </w:rPr>
              <w:t>1</w:t>
            </w:r>
            <w:r w:rsidR="00A97A80">
              <w:rPr>
                <w:sz w:val="28"/>
              </w:rPr>
              <w:t xml:space="preserve"> </w:t>
            </w:r>
            <w:r w:rsidR="00577CDC">
              <w:rPr>
                <w:sz w:val="28"/>
              </w:rPr>
              <w:t>March 2014</w:t>
            </w:r>
          </w:p>
        </w:tc>
      </w:tr>
      <w:tr w:rsidR="00A25830" w:rsidTr="005647BF">
        <w:tc>
          <w:tcPr>
            <w:tcW w:w="581" w:type="dxa"/>
          </w:tcPr>
          <w:p w:rsidR="00A25830" w:rsidRDefault="00A25830" w:rsidP="00282096">
            <w:pPr>
              <w:spacing w:line="260" w:lineRule="exact"/>
              <w:jc w:val="both"/>
              <w:rPr>
                <w:sz w:val="22"/>
              </w:rPr>
            </w:pPr>
          </w:p>
        </w:tc>
        <w:tc>
          <w:tcPr>
            <w:tcW w:w="473" w:type="dxa"/>
          </w:tcPr>
          <w:p w:rsidR="00A25830" w:rsidRDefault="00A25830" w:rsidP="00282096">
            <w:pPr>
              <w:spacing w:line="260" w:lineRule="exact"/>
              <w:jc w:val="both"/>
              <w:rPr>
                <w:sz w:val="22"/>
              </w:rPr>
            </w:pPr>
          </w:p>
        </w:tc>
        <w:tc>
          <w:tcPr>
            <w:tcW w:w="540" w:type="dxa"/>
          </w:tcPr>
          <w:p w:rsidR="00A25830" w:rsidRDefault="00A25830" w:rsidP="00282096">
            <w:pPr>
              <w:spacing w:line="260" w:lineRule="exact"/>
              <w:jc w:val="both"/>
              <w:rPr>
                <w:sz w:val="22"/>
              </w:rPr>
            </w:pPr>
          </w:p>
        </w:tc>
        <w:tc>
          <w:tcPr>
            <w:tcW w:w="739" w:type="dxa"/>
          </w:tcPr>
          <w:p w:rsidR="00A25830" w:rsidRDefault="00A25830" w:rsidP="00282096">
            <w:pPr>
              <w:spacing w:line="260" w:lineRule="exact"/>
              <w:jc w:val="both"/>
              <w:rPr>
                <w:sz w:val="22"/>
              </w:rPr>
            </w:pPr>
          </w:p>
        </w:tc>
        <w:tc>
          <w:tcPr>
            <w:tcW w:w="7041" w:type="dxa"/>
          </w:tcPr>
          <w:p w:rsidR="00A25830" w:rsidRDefault="00A25830" w:rsidP="00282096">
            <w:pPr>
              <w:spacing w:line="260" w:lineRule="exact"/>
              <w:jc w:val="both"/>
              <w:rPr>
                <w:sz w:val="22"/>
              </w:rPr>
            </w:pPr>
          </w:p>
        </w:tc>
      </w:tr>
      <w:tr w:rsidR="00A25830" w:rsidTr="005647BF">
        <w:tc>
          <w:tcPr>
            <w:tcW w:w="581" w:type="dxa"/>
          </w:tcPr>
          <w:p w:rsidR="00A25830" w:rsidRDefault="00A25830" w:rsidP="00844BAC">
            <w:pPr>
              <w:spacing w:line="260" w:lineRule="exact"/>
              <w:jc w:val="center"/>
              <w:rPr>
                <w:sz w:val="22"/>
              </w:rPr>
            </w:pPr>
            <w:r>
              <w:rPr>
                <w:sz w:val="22"/>
              </w:rPr>
              <w:t>1.</w:t>
            </w:r>
          </w:p>
        </w:tc>
        <w:tc>
          <w:tcPr>
            <w:tcW w:w="8793" w:type="dxa"/>
            <w:gridSpan w:val="4"/>
          </w:tcPr>
          <w:p w:rsidR="00A25830" w:rsidRDefault="00B8003E" w:rsidP="00282096">
            <w:pPr>
              <w:spacing w:line="260" w:lineRule="exact"/>
              <w:jc w:val="both"/>
              <w:rPr>
                <w:sz w:val="22"/>
              </w:rPr>
            </w:pPr>
            <w:r>
              <w:rPr>
                <w:sz w:val="22"/>
              </w:rPr>
              <w:t>Corporate information</w:t>
            </w:r>
          </w:p>
        </w:tc>
      </w:tr>
      <w:tr w:rsidR="00A25830" w:rsidTr="005647BF">
        <w:tc>
          <w:tcPr>
            <w:tcW w:w="581" w:type="dxa"/>
          </w:tcPr>
          <w:p w:rsidR="00A25830" w:rsidRDefault="00A25830" w:rsidP="00282096">
            <w:pPr>
              <w:spacing w:line="260" w:lineRule="exact"/>
              <w:jc w:val="right"/>
              <w:rPr>
                <w:sz w:val="22"/>
              </w:rPr>
            </w:pPr>
          </w:p>
        </w:tc>
        <w:tc>
          <w:tcPr>
            <w:tcW w:w="8793" w:type="dxa"/>
            <w:gridSpan w:val="4"/>
          </w:tcPr>
          <w:p w:rsidR="002052CE" w:rsidRDefault="002052CE" w:rsidP="009A66E5">
            <w:pPr>
              <w:spacing w:line="260" w:lineRule="exact"/>
              <w:jc w:val="both"/>
              <w:rPr>
                <w:sz w:val="22"/>
              </w:rPr>
            </w:pPr>
          </w:p>
          <w:p w:rsidR="00B8003E" w:rsidRDefault="00B8003E" w:rsidP="009A66E5">
            <w:pPr>
              <w:spacing w:line="260" w:lineRule="exact"/>
              <w:jc w:val="both"/>
              <w:rPr>
                <w:sz w:val="22"/>
              </w:rPr>
            </w:pPr>
            <w:proofErr w:type="spellStart"/>
            <w:r>
              <w:rPr>
                <w:sz w:val="22"/>
              </w:rPr>
              <w:t>Lysaght</w:t>
            </w:r>
            <w:proofErr w:type="spellEnd"/>
            <w:r>
              <w:rPr>
                <w:sz w:val="22"/>
              </w:rPr>
              <w:t xml:space="preserve"> Galvanized Steel </w:t>
            </w:r>
            <w:proofErr w:type="spellStart"/>
            <w:r>
              <w:rPr>
                <w:sz w:val="22"/>
              </w:rPr>
              <w:t>Berhad</w:t>
            </w:r>
            <w:proofErr w:type="spellEnd"/>
            <w:r>
              <w:rPr>
                <w:sz w:val="22"/>
              </w:rPr>
              <w:t xml:space="preserve"> is a public limited liability company incorporated and domiciled in Malaysia, and is listed on Bursa Malaysia </w:t>
            </w:r>
            <w:r w:rsidR="00A25830">
              <w:rPr>
                <w:sz w:val="22"/>
              </w:rPr>
              <w:t xml:space="preserve">Securities </w:t>
            </w:r>
            <w:proofErr w:type="spellStart"/>
            <w:r w:rsidR="00A25830">
              <w:rPr>
                <w:sz w:val="22"/>
              </w:rPr>
              <w:t>Berhad</w:t>
            </w:r>
            <w:proofErr w:type="spellEnd"/>
            <w:r>
              <w:rPr>
                <w:sz w:val="22"/>
              </w:rPr>
              <w:t>.</w:t>
            </w:r>
          </w:p>
          <w:p w:rsidR="00B8003E" w:rsidRDefault="00B8003E" w:rsidP="00B8003E">
            <w:pPr>
              <w:pStyle w:val="NoSpacing"/>
            </w:pPr>
          </w:p>
          <w:p w:rsidR="00A25830" w:rsidRPr="00B8003E" w:rsidRDefault="00B8003E" w:rsidP="00577CDC">
            <w:pPr>
              <w:pStyle w:val="NoSpacing"/>
              <w:rPr>
                <w:sz w:val="22"/>
                <w:szCs w:val="22"/>
              </w:rPr>
            </w:pPr>
            <w:r>
              <w:rPr>
                <w:sz w:val="22"/>
                <w:szCs w:val="22"/>
              </w:rPr>
              <w:t xml:space="preserve">These condensed consolidated interim </w:t>
            </w:r>
            <w:r w:rsidR="00ED5468">
              <w:rPr>
                <w:sz w:val="22"/>
                <w:szCs w:val="22"/>
              </w:rPr>
              <w:t xml:space="preserve">financial </w:t>
            </w:r>
            <w:r>
              <w:rPr>
                <w:sz w:val="22"/>
                <w:szCs w:val="22"/>
              </w:rPr>
              <w:t xml:space="preserve">statements were approved by the Board of Directors on </w:t>
            </w:r>
            <w:r w:rsidR="00C53A99">
              <w:rPr>
                <w:sz w:val="22"/>
                <w:szCs w:val="22"/>
              </w:rPr>
              <w:t>6</w:t>
            </w:r>
            <w:r w:rsidR="00FD46BE">
              <w:rPr>
                <w:sz w:val="22"/>
                <w:szCs w:val="22"/>
              </w:rPr>
              <w:t xml:space="preserve"> May </w:t>
            </w:r>
            <w:r>
              <w:rPr>
                <w:sz w:val="22"/>
                <w:szCs w:val="22"/>
              </w:rPr>
              <w:t>201</w:t>
            </w:r>
            <w:r w:rsidR="00577CDC">
              <w:rPr>
                <w:sz w:val="22"/>
                <w:szCs w:val="22"/>
              </w:rPr>
              <w:t>4</w:t>
            </w:r>
            <w:r>
              <w:rPr>
                <w:sz w:val="22"/>
                <w:szCs w:val="22"/>
              </w:rPr>
              <w:t>.</w:t>
            </w:r>
          </w:p>
        </w:tc>
      </w:tr>
      <w:tr w:rsidR="00A25830" w:rsidTr="005647BF">
        <w:tc>
          <w:tcPr>
            <w:tcW w:w="581" w:type="dxa"/>
          </w:tcPr>
          <w:p w:rsidR="00A25830" w:rsidRDefault="00A25830" w:rsidP="00282096">
            <w:pPr>
              <w:spacing w:line="260" w:lineRule="exact"/>
              <w:jc w:val="right"/>
              <w:rPr>
                <w:sz w:val="22"/>
              </w:rPr>
            </w:pPr>
          </w:p>
        </w:tc>
        <w:tc>
          <w:tcPr>
            <w:tcW w:w="473" w:type="dxa"/>
          </w:tcPr>
          <w:p w:rsidR="00A25830" w:rsidRDefault="00A25830" w:rsidP="00282096">
            <w:pPr>
              <w:spacing w:line="260" w:lineRule="exact"/>
              <w:jc w:val="both"/>
              <w:rPr>
                <w:sz w:val="22"/>
              </w:rPr>
            </w:pPr>
          </w:p>
        </w:tc>
        <w:tc>
          <w:tcPr>
            <w:tcW w:w="540" w:type="dxa"/>
          </w:tcPr>
          <w:p w:rsidR="00A25830" w:rsidRDefault="00A25830" w:rsidP="00282096">
            <w:pPr>
              <w:spacing w:line="260" w:lineRule="exact"/>
              <w:jc w:val="both"/>
              <w:rPr>
                <w:sz w:val="22"/>
              </w:rPr>
            </w:pPr>
          </w:p>
        </w:tc>
        <w:tc>
          <w:tcPr>
            <w:tcW w:w="739" w:type="dxa"/>
          </w:tcPr>
          <w:p w:rsidR="00A25830" w:rsidRDefault="00A25830" w:rsidP="00282096">
            <w:pPr>
              <w:spacing w:line="260" w:lineRule="exact"/>
              <w:jc w:val="both"/>
              <w:rPr>
                <w:sz w:val="22"/>
              </w:rPr>
            </w:pPr>
          </w:p>
        </w:tc>
        <w:tc>
          <w:tcPr>
            <w:tcW w:w="7041" w:type="dxa"/>
          </w:tcPr>
          <w:p w:rsidR="00A25830" w:rsidRDefault="00A25830" w:rsidP="00282096">
            <w:pPr>
              <w:spacing w:line="260" w:lineRule="exact"/>
              <w:jc w:val="both"/>
              <w:rPr>
                <w:sz w:val="22"/>
              </w:rPr>
            </w:pPr>
          </w:p>
        </w:tc>
      </w:tr>
      <w:tr w:rsidR="002F2F82" w:rsidRPr="00FC42FB" w:rsidTr="005647BF">
        <w:tc>
          <w:tcPr>
            <w:tcW w:w="581" w:type="dxa"/>
          </w:tcPr>
          <w:p w:rsidR="002F2F82" w:rsidRPr="00FC42FB" w:rsidRDefault="002F2F82" w:rsidP="00844BAC">
            <w:pPr>
              <w:spacing w:line="260" w:lineRule="exact"/>
              <w:jc w:val="center"/>
              <w:rPr>
                <w:sz w:val="22"/>
              </w:rPr>
            </w:pPr>
            <w:r w:rsidRPr="00FC42FB">
              <w:rPr>
                <w:sz w:val="22"/>
              </w:rPr>
              <w:t>2.</w:t>
            </w:r>
          </w:p>
        </w:tc>
        <w:tc>
          <w:tcPr>
            <w:tcW w:w="8793" w:type="dxa"/>
            <w:gridSpan w:val="4"/>
          </w:tcPr>
          <w:p w:rsidR="002F2F82" w:rsidRPr="00340AD3" w:rsidRDefault="002F2F82" w:rsidP="006D6FFC">
            <w:pPr>
              <w:spacing w:line="260" w:lineRule="exact"/>
              <w:jc w:val="both"/>
              <w:rPr>
                <w:b/>
                <w:sz w:val="22"/>
              </w:rPr>
            </w:pPr>
            <w:r w:rsidRPr="00340AD3">
              <w:rPr>
                <w:b/>
                <w:sz w:val="22"/>
              </w:rPr>
              <w:t>Changes in Accounting Policies</w:t>
            </w:r>
          </w:p>
          <w:p w:rsidR="002F2F82" w:rsidRPr="00340AD3" w:rsidRDefault="002F2F82" w:rsidP="006D6FFC">
            <w:pPr>
              <w:spacing w:line="260" w:lineRule="exact"/>
              <w:jc w:val="both"/>
              <w:rPr>
                <w:b/>
                <w:sz w:val="22"/>
              </w:rPr>
            </w:pPr>
          </w:p>
          <w:p w:rsidR="00340AD3" w:rsidRDefault="00EB5F63" w:rsidP="002F2F82">
            <w:pPr>
              <w:spacing w:line="260" w:lineRule="exact"/>
              <w:jc w:val="both"/>
              <w:rPr>
                <w:b/>
                <w:sz w:val="22"/>
              </w:rPr>
            </w:pPr>
            <w:r w:rsidRPr="00340AD3">
              <w:rPr>
                <w:b/>
                <w:sz w:val="22"/>
              </w:rPr>
              <w:t>2.1 Adoption of Standards, Amendments and Issues Committee (IC) Interpretations and</w:t>
            </w:r>
          </w:p>
          <w:p w:rsidR="00EB5F63" w:rsidRPr="00340AD3" w:rsidRDefault="00EB5F63" w:rsidP="002F2F82">
            <w:pPr>
              <w:spacing w:line="260" w:lineRule="exact"/>
              <w:jc w:val="both"/>
              <w:rPr>
                <w:b/>
                <w:sz w:val="22"/>
              </w:rPr>
            </w:pPr>
            <w:r w:rsidRPr="00340AD3">
              <w:rPr>
                <w:b/>
                <w:sz w:val="22"/>
              </w:rPr>
              <w:t xml:space="preserve"> </w:t>
            </w:r>
            <w:r w:rsidR="00340AD3">
              <w:rPr>
                <w:b/>
                <w:sz w:val="22"/>
              </w:rPr>
              <w:t xml:space="preserve">    </w:t>
            </w:r>
            <w:proofErr w:type="gramStart"/>
            <w:r w:rsidRPr="00340AD3">
              <w:rPr>
                <w:b/>
                <w:sz w:val="22"/>
              </w:rPr>
              <w:t>changes</w:t>
            </w:r>
            <w:proofErr w:type="gramEnd"/>
            <w:r w:rsidRPr="00340AD3">
              <w:rPr>
                <w:b/>
                <w:sz w:val="22"/>
              </w:rPr>
              <w:t xml:space="preserve"> in accounting policies.</w:t>
            </w:r>
          </w:p>
          <w:p w:rsidR="00EB5F63" w:rsidRPr="00340AD3" w:rsidRDefault="00EB5F63" w:rsidP="002F2F82">
            <w:pPr>
              <w:spacing w:line="260" w:lineRule="exact"/>
              <w:jc w:val="both"/>
              <w:rPr>
                <w:b/>
                <w:sz w:val="22"/>
              </w:rPr>
            </w:pPr>
          </w:p>
          <w:p w:rsidR="00340AD3" w:rsidRDefault="00EB5F63" w:rsidP="002F2F82">
            <w:pPr>
              <w:spacing w:line="260" w:lineRule="exact"/>
              <w:jc w:val="both"/>
              <w:rPr>
                <w:sz w:val="22"/>
              </w:rPr>
            </w:pPr>
            <w:r w:rsidRPr="00340AD3">
              <w:rPr>
                <w:b/>
                <w:sz w:val="22"/>
              </w:rPr>
              <w:t xml:space="preserve">     </w:t>
            </w:r>
            <w:r w:rsidR="00340AD3" w:rsidRPr="00340AD3">
              <w:rPr>
                <w:b/>
                <w:sz w:val="22"/>
              </w:rPr>
              <w:t>Adoption of Standards, Amendments and IC Interpretations</w:t>
            </w:r>
          </w:p>
          <w:p w:rsidR="00340AD3" w:rsidRDefault="00340AD3" w:rsidP="002F2F82">
            <w:pPr>
              <w:spacing w:line="260" w:lineRule="exact"/>
              <w:jc w:val="both"/>
              <w:rPr>
                <w:sz w:val="22"/>
              </w:rPr>
            </w:pPr>
          </w:p>
          <w:p w:rsidR="00877F2F" w:rsidRPr="00FC42FB" w:rsidRDefault="00340AD3" w:rsidP="004A4B0E">
            <w:pPr>
              <w:spacing w:line="260" w:lineRule="exact"/>
              <w:jc w:val="both"/>
              <w:rPr>
                <w:sz w:val="22"/>
              </w:rPr>
            </w:pPr>
            <w:r>
              <w:rPr>
                <w:sz w:val="22"/>
              </w:rPr>
              <w:t xml:space="preserve">     The Group adopted the following Standards, Amendments and IC interpretations:-</w:t>
            </w:r>
          </w:p>
        </w:tc>
      </w:tr>
      <w:tr w:rsidR="002F2F82" w:rsidRPr="00FC42FB" w:rsidTr="005647BF">
        <w:tc>
          <w:tcPr>
            <w:tcW w:w="581" w:type="dxa"/>
          </w:tcPr>
          <w:p w:rsidR="002F2F82" w:rsidRPr="00FC42FB" w:rsidRDefault="002F2F82" w:rsidP="005B3946">
            <w:pPr>
              <w:spacing w:line="260" w:lineRule="exact"/>
              <w:jc w:val="center"/>
              <w:rPr>
                <w:sz w:val="22"/>
              </w:rPr>
            </w:pPr>
            <w:r>
              <w:rPr>
                <w:sz w:val="22"/>
              </w:rPr>
              <w:t xml:space="preserve"> </w:t>
            </w:r>
          </w:p>
        </w:tc>
        <w:tc>
          <w:tcPr>
            <w:tcW w:w="8793" w:type="dxa"/>
            <w:gridSpan w:val="4"/>
          </w:tcPr>
          <w:p w:rsidR="00877F2F" w:rsidRPr="002E54F1" w:rsidRDefault="00877F2F" w:rsidP="002E54F1">
            <w:pPr>
              <w:rPr>
                <w:sz w:val="22"/>
                <w:szCs w:val="22"/>
              </w:rPr>
            </w:pPr>
          </w:p>
        </w:tc>
      </w:tr>
      <w:tr w:rsidR="002F2F82" w:rsidRPr="00FC42FB" w:rsidTr="005647BF">
        <w:tc>
          <w:tcPr>
            <w:tcW w:w="581" w:type="dxa"/>
          </w:tcPr>
          <w:p w:rsidR="002F2F82" w:rsidRPr="00FC42FB" w:rsidRDefault="002F2F82" w:rsidP="005B3946">
            <w:pPr>
              <w:spacing w:line="260" w:lineRule="exact"/>
              <w:jc w:val="center"/>
              <w:rPr>
                <w:sz w:val="22"/>
              </w:rPr>
            </w:pPr>
          </w:p>
        </w:tc>
        <w:tc>
          <w:tcPr>
            <w:tcW w:w="8793" w:type="dxa"/>
            <w:gridSpan w:val="4"/>
          </w:tcPr>
          <w:p w:rsidR="002E54F1" w:rsidRDefault="002E54F1" w:rsidP="002E54F1">
            <w:pPr>
              <w:numPr>
                <w:ilvl w:val="0"/>
                <w:numId w:val="1"/>
              </w:numPr>
              <w:rPr>
                <w:sz w:val="22"/>
                <w:szCs w:val="22"/>
              </w:rPr>
            </w:pPr>
            <w:r>
              <w:rPr>
                <w:sz w:val="22"/>
                <w:szCs w:val="22"/>
              </w:rPr>
              <w:t>Amendments to MFRS 132 : Offsetting Financial Assets and Financial Liabilities</w:t>
            </w:r>
          </w:p>
          <w:p w:rsidR="002E54F1" w:rsidRPr="002E54F1" w:rsidRDefault="002E54F1" w:rsidP="002E54F1">
            <w:pPr>
              <w:numPr>
                <w:ilvl w:val="0"/>
                <w:numId w:val="1"/>
              </w:numPr>
              <w:rPr>
                <w:sz w:val="22"/>
                <w:szCs w:val="22"/>
              </w:rPr>
            </w:pPr>
            <w:r>
              <w:rPr>
                <w:sz w:val="22"/>
                <w:szCs w:val="22"/>
              </w:rPr>
              <w:t>Amendments to MFRS 10, MFRS 12 and MFRS 127 : Investment Entities</w:t>
            </w:r>
          </w:p>
          <w:p w:rsidR="002E54F1" w:rsidRDefault="002E54F1" w:rsidP="002E54F1">
            <w:pPr>
              <w:numPr>
                <w:ilvl w:val="0"/>
                <w:numId w:val="1"/>
              </w:numPr>
              <w:rPr>
                <w:sz w:val="22"/>
                <w:szCs w:val="22"/>
              </w:rPr>
            </w:pPr>
            <w:r>
              <w:rPr>
                <w:sz w:val="22"/>
                <w:szCs w:val="22"/>
              </w:rPr>
              <w:t>Amendments to MFRS 136 : Recoverable Amount Disclosures for Non-Financial Assets</w:t>
            </w:r>
          </w:p>
          <w:p w:rsidR="002E54F1" w:rsidRDefault="002E54F1" w:rsidP="002E54F1">
            <w:pPr>
              <w:numPr>
                <w:ilvl w:val="0"/>
                <w:numId w:val="1"/>
              </w:numPr>
              <w:rPr>
                <w:sz w:val="22"/>
                <w:szCs w:val="22"/>
              </w:rPr>
            </w:pPr>
            <w:r>
              <w:rPr>
                <w:sz w:val="22"/>
                <w:szCs w:val="22"/>
              </w:rPr>
              <w:t>Amendments to MFRS 139 : Novation of Derivative</w:t>
            </w:r>
            <w:r>
              <w:rPr>
                <w:sz w:val="22"/>
                <w:szCs w:val="22"/>
              </w:rPr>
              <w:t>s</w:t>
            </w:r>
            <w:r>
              <w:rPr>
                <w:sz w:val="22"/>
                <w:szCs w:val="22"/>
              </w:rPr>
              <w:t xml:space="preserve"> and Continuation of Hedge Accounting</w:t>
            </w:r>
          </w:p>
          <w:p w:rsidR="002E54F1" w:rsidRDefault="002E54F1" w:rsidP="002E54F1">
            <w:pPr>
              <w:numPr>
                <w:ilvl w:val="0"/>
                <w:numId w:val="1"/>
              </w:numPr>
              <w:rPr>
                <w:sz w:val="22"/>
                <w:szCs w:val="22"/>
              </w:rPr>
            </w:pPr>
            <w:r w:rsidRPr="00DF52CA">
              <w:rPr>
                <w:sz w:val="22"/>
                <w:szCs w:val="22"/>
              </w:rPr>
              <w:t xml:space="preserve">IC Interpretation 21 </w:t>
            </w:r>
            <w:r>
              <w:rPr>
                <w:sz w:val="22"/>
                <w:szCs w:val="22"/>
              </w:rPr>
              <w:t xml:space="preserve">: </w:t>
            </w:r>
            <w:r w:rsidRPr="00DF52CA">
              <w:rPr>
                <w:sz w:val="22"/>
                <w:szCs w:val="22"/>
              </w:rPr>
              <w:t>Levies</w:t>
            </w:r>
          </w:p>
          <w:p w:rsidR="006D6FFC" w:rsidRDefault="006D6FFC" w:rsidP="006D6FFC">
            <w:pPr>
              <w:spacing w:line="260" w:lineRule="exact"/>
              <w:jc w:val="both"/>
              <w:rPr>
                <w:sz w:val="22"/>
              </w:rPr>
            </w:pPr>
          </w:p>
          <w:p w:rsidR="002E54F1" w:rsidRDefault="002E54F1" w:rsidP="006D6FFC">
            <w:pPr>
              <w:spacing w:line="260" w:lineRule="exact"/>
              <w:jc w:val="both"/>
              <w:rPr>
                <w:sz w:val="22"/>
              </w:rPr>
            </w:pPr>
          </w:p>
          <w:p w:rsidR="006D6FFC" w:rsidRDefault="006D6FFC" w:rsidP="006D6FFC">
            <w:pPr>
              <w:spacing w:line="260" w:lineRule="exact"/>
              <w:jc w:val="both"/>
              <w:rPr>
                <w:sz w:val="22"/>
              </w:rPr>
            </w:pPr>
            <w:r>
              <w:rPr>
                <w:sz w:val="22"/>
              </w:rPr>
              <w:t xml:space="preserve">     The adoption of the above pronouncements did not have any impact on the financial statements</w:t>
            </w:r>
          </w:p>
          <w:p w:rsidR="006D6FFC" w:rsidRDefault="004A4B0E" w:rsidP="006D6FFC">
            <w:pPr>
              <w:spacing w:line="260" w:lineRule="exact"/>
              <w:jc w:val="both"/>
              <w:rPr>
                <w:sz w:val="22"/>
              </w:rPr>
            </w:pPr>
            <w:r>
              <w:rPr>
                <w:sz w:val="22"/>
              </w:rPr>
              <w:t xml:space="preserve">     </w:t>
            </w:r>
            <w:proofErr w:type="gramStart"/>
            <w:r w:rsidR="006D6FFC">
              <w:rPr>
                <w:sz w:val="22"/>
              </w:rPr>
              <w:t>of</w:t>
            </w:r>
            <w:proofErr w:type="gramEnd"/>
            <w:r w:rsidR="006D6FFC">
              <w:rPr>
                <w:sz w:val="22"/>
              </w:rPr>
              <w:t xml:space="preserve"> the Group.</w:t>
            </w:r>
          </w:p>
          <w:p w:rsidR="006D6FFC" w:rsidRDefault="006D6FFC" w:rsidP="006D6FFC">
            <w:pPr>
              <w:spacing w:line="260" w:lineRule="exact"/>
              <w:jc w:val="both"/>
              <w:rPr>
                <w:sz w:val="22"/>
              </w:rPr>
            </w:pPr>
          </w:p>
          <w:p w:rsidR="006D6FFC" w:rsidRPr="005647BF" w:rsidRDefault="006D6FFC" w:rsidP="006D6FFC">
            <w:pPr>
              <w:spacing w:line="260" w:lineRule="exact"/>
              <w:jc w:val="both"/>
              <w:rPr>
                <w:b/>
                <w:sz w:val="22"/>
              </w:rPr>
            </w:pPr>
            <w:r w:rsidRPr="005647BF">
              <w:rPr>
                <w:b/>
                <w:sz w:val="22"/>
              </w:rPr>
              <w:t>2.2 Standards issued but not yet effective</w:t>
            </w:r>
          </w:p>
          <w:p w:rsidR="00577CDC" w:rsidRPr="002E54F1" w:rsidRDefault="00577CDC" w:rsidP="002E54F1">
            <w:pPr>
              <w:rPr>
                <w:sz w:val="22"/>
                <w:szCs w:val="22"/>
              </w:rPr>
            </w:pPr>
          </w:p>
          <w:p w:rsidR="00577CDC" w:rsidRDefault="00577CDC" w:rsidP="00577CDC">
            <w:pPr>
              <w:numPr>
                <w:ilvl w:val="0"/>
                <w:numId w:val="1"/>
              </w:numPr>
              <w:rPr>
                <w:sz w:val="22"/>
                <w:szCs w:val="22"/>
              </w:rPr>
            </w:pPr>
            <w:r>
              <w:rPr>
                <w:sz w:val="22"/>
                <w:szCs w:val="22"/>
              </w:rPr>
              <w:t>Amendments to MFRS 119 : Defined Benefit Plans : Employee Contributions</w:t>
            </w:r>
          </w:p>
          <w:p w:rsidR="00577CDC" w:rsidRDefault="00577CDC" w:rsidP="00577CDC">
            <w:pPr>
              <w:numPr>
                <w:ilvl w:val="0"/>
                <w:numId w:val="1"/>
              </w:numPr>
              <w:rPr>
                <w:sz w:val="22"/>
                <w:szCs w:val="22"/>
              </w:rPr>
            </w:pPr>
            <w:r>
              <w:rPr>
                <w:sz w:val="22"/>
                <w:szCs w:val="22"/>
              </w:rPr>
              <w:t>Annual Improvements to MFRSs 2010-2012 Cycle</w:t>
            </w:r>
          </w:p>
          <w:p w:rsidR="00577CDC" w:rsidRDefault="00577CDC" w:rsidP="00577CDC">
            <w:pPr>
              <w:numPr>
                <w:ilvl w:val="0"/>
                <w:numId w:val="1"/>
              </w:numPr>
              <w:rPr>
                <w:sz w:val="22"/>
                <w:szCs w:val="22"/>
              </w:rPr>
            </w:pPr>
            <w:r>
              <w:rPr>
                <w:sz w:val="22"/>
                <w:szCs w:val="22"/>
              </w:rPr>
              <w:t xml:space="preserve">Annual Improvements to MFRSs 2011-2013 Cycle </w:t>
            </w:r>
          </w:p>
          <w:p w:rsidR="002E54F1" w:rsidRDefault="002E54F1" w:rsidP="00577CDC">
            <w:pPr>
              <w:numPr>
                <w:ilvl w:val="0"/>
                <w:numId w:val="1"/>
              </w:numPr>
              <w:rPr>
                <w:sz w:val="22"/>
                <w:szCs w:val="22"/>
              </w:rPr>
            </w:pPr>
            <w:r>
              <w:rPr>
                <w:sz w:val="22"/>
                <w:szCs w:val="22"/>
              </w:rPr>
              <w:t>MFRS 9 : Financial Instruments (IFRS 9 issued by IASB in November 2009)</w:t>
            </w:r>
          </w:p>
          <w:p w:rsidR="002E54F1" w:rsidRDefault="002E54F1" w:rsidP="002E54F1">
            <w:pPr>
              <w:numPr>
                <w:ilvl w:val="0"/>
                <w:numId w:val="1"/>
              </w:numPr>
              <w:rPr>
                <w:sz w:val="22"/>
                <w:szCs w:val="22"/>
              </w:rPr>
            </w:pPr>
            <w:r>
              <w:rPr>
                <w:sz w:val="22"/>
                <w:szCs w:val="22"/>
              </w:rPr>
              <w:t xml:space="preserve">MFRS 9 : Financial Instruments (IFRS 9 issued by IASB in </w:t>
            </w:r>
            <w:r w:rsidR="00AA39AD">
              <w:rPr>
                <w:sz w:val="22"/>
                <w:szCs w:val="22"/>
              </w:rPr>
              <w:t>October 2010</w:t>
            </w:r>
            <w:r>
              <w:rPr>
                <w:sz w:val="22"/>
                <w:szCs w:val="22"/>
              </w:rPr>
              <w:t>)</w:t>
            </w:r>
          </w:p>
          <w:p w:rsidR="002E54F1" w:rsidRDefault="00AA39AD" w:rsidP="00AA39AD">
            <w:pPr>
              <w:numPr>
                <w:ilvl w:val="0"/>
                <w:numId w:val="1"/>
              </w:numPr>
              <w:rPr>
                <w:sz w:val="22"/>
                <w:szCs w:val="22"/>
              </w:rPr>
            </w:pPr>
            <w:r>
              <w:rPr>
                <w:sz w:val="22"/>
                <w:szCs w:val="22"/>
              </w:rPr>
              <w:t>MFRS 9 : Financial Instruments : Hedge Accounting and amendments to MFRS 9, MFRS 7 and MFRS 139</w:t>
            </w:r>
          </w:p>
          <w:p w:rsidR="00AA39AD" w:rsidRPr="00AA39AD" w:rsidRDefault="00AA39AD" w:rsidP="00AA39AD">
            <w:pPr>
              <w:rPr>
                <w:sz w:val="22"/>
                <w:szCs w:val="22"/>
              </w:rPr>
            </w:pPr>
          </w:p>
          <w:p w:rsidR="00F303FC" w:rsidRDefault="00F303FC" w:rsidP="00577CDC">
            <w:pPr>
              <w:rPr>
                <w:sz w:val="22"/>
                <w:szCs w:val="22"/>
              </w:rPr>
            </w:pPr>
          </w:p>
          <w:p w:rsidR="00545CCD" w:rsidRDefault="00F303FC" w:rsidP="00F303FC">
            <w:pPr>
              <w:pStyle w:val="ListParagraph"/>
              <w:rPr>
                <w:sz w:val="22"/>
                <w:szCs w:val="22"/>
              </w:rPr>
            </w:pPr>
            <w:r>
              <w:rPr>
                <w:sz w:val="22"/>
                <w:szCs w:val="22"/>
              </w:rPr>
              <w:t>* International Accounting Standards Board</w:t>
            </w:r>
          </w:p>
          <w:p w:rsidR="00F303FC" w:rsidRPr="00F303FC" w:rsidRDefault="00F303FC" w:rsidP="00F303FC">
            <w:pPr>
              <w:pStyle w:val="ListParagraph"/>
              <w:rPr>
                <w:sz w:val="22"/>
                <w:szCs w:val="22"/>
              </w:rPr>
            </w:pPr>
          </w:p>
          <w:p w:rsidR="005647BF" w:rsidRPr="005647BF" w:rsidRDefault="005647BF" w:rsidP="005647BF">
            <w:pPr>
              <w:rPr>
                <w:sz w:val="22"/>
                <w:szCs w:val="22"/>
              </w:rPr>
            </w:pPr>
            <w:r>
              <w:rPr>
                <w:sz w:val="22"/>
                <w:szCs w:val="22"/>
              </w:rPr>
              <w:t>The Group will adopt the above pronouncements when they become effective in the respective financial periods. These pronouncements are not expected to have any effect to the financial statements of the Group upon their initial application.</w:t>
            </w:r>
          </w:p>
          <w:p w:rsidR="002F2F82" w:rsidRPr="00FC42FB" w:rsidRDefault="002F2F82" w:rsidP="006D6FFC">
            <w:pPr>
              <w:spacing w:line="260" w:lineRule="exact"/>
              <w:jc w:val="both"/>
              <w:rPr>
                <w:sz w:val="22"/>
              </w:rPr>
            </w:pPr>
            <w:r w:rsidRPr="00FC42FB">
              <w:rPr>
                <w:sz w:val="22"/>
              </w:rPr>
              <w:t xml:space="preserve"> </w:t>
            </w:r>
          </w:p>
        </w:tc>
      </w:tr>
      <w:tr w:rsidR="00821F26" w:rsidRPr="00FC42FB" w:rsidTr="005647BF">
        <w:tc>
          <w:tcPr>
            <w:tcW w:w="581" w:type="dxa"/>
          </w:tcPr>
          <w:p w:rsidR="00821F26" w:rsidRPr="00FC42FB" w:rsidRDefault="00821F26" w:rsidP="00821F26">
            <w:pPr>
              <w:spacing w:line="260" w:lineRule="exact"/>
              <w:jc w:val="center"/>
              <w:rPr>
                <w:sz w:val="22"/>
              </w:rPr>
            </w:pPr>
          </w:p>
        </w:tc>
        <w:tc>
          <w:tcPr>
            <w:tcW w:w="8793" w:type="dxa"/>
            <w:gridSpan w:val="4"/>
          </w:tcPr>
          <w:p w:rsidR="00821F26" w:rsidRPr="00FC42FB" w:rsidRDefault="00821F26" w:rsidP="00821F26">
            <w:pPr>
              <w:spacing w:line="260" w:lineRule="exact"/>
              <w:jc w:val="both"/>
              <w:rPr>
                <w:sz w:val="22"/>
              </w:rPr>
            </w:pPr>
          </w:p>
        </w:tc>
      </w:tr>
      <w:tr w:rsidR="00A97A80" w:rsidRPr="00FC42FB" w:rsidTr="005647BF">
        <w:tc>
          <w:tcPr>
            <w:tcW w:w="581" w:type="dxa"/>
          </w:tcPr>
          <w:p w:rsidR="00A97A80" w:rsidRDefault="00A97A80" w:rsidP="00821F26">
            <w:pPr>
              <w:spacing w:line="260" w:lineRule="exact"/>
              <w:jc w:val="center"/>
              <w:rPr>
                <w:sz w:val="22"/>
              </w:rPr>
            </w:pPr>
            <w:r>
              <w:rPr>
                <w:sz w:val="22"/>
              </w:rPr>
              <w:lastRenderedPageBreak/>
              <w:t xml:space="preserve"> </w:t>
            </w:r>
            <w:r w:rsidR="00545CCD">
              <w:rPr>
                <w:sz w:val="22"/>
              </w:rPr>
              <w:t>3</w:t>
            </w:r>
            <w:r>
              <w:rPr>
                <w:sz w:val="22"/>
              </w:rPr>
              <w:t>.</w:t>
            </w:r>
          </w:p>
        </w:tc>
        <w:tc>
          <w:tcPr>
            <w:tcW w:w="8793" w:type="dxa"/>
            <w:gridSpan w:val="4"/>
          </w:tcPr>
          <w:p w:rsidR="00A97A80" w:rsidRDefault="00A97A80" w:rsidP="00821F26">
            <w:pPr>
              <w:spacing w:line="260" w:lineRule="exact"/>
              <w:jc w:val="both"/>
              <w:rPr>
                <w:sz w:val="22"/>
              </w:rPr>
            </w:pPr>
            <w:r>
              <w:rPr>
                <w:sz w:val="22"/>
              </w:rPr>
              <w:t>Changes in estimates</w:t>
            </w:r>
          </w:p>
          <w:p w:rsidR="00A97A80" w:rsidRDefault="00A97A80" w:rsidP="00821F26">
            <w:pPr>
              <w:spacing w:line="260" w:lineRule="exact"/>
              <w:jc w:val="both"/>
              <w:rPr>
                <w:sz w:val="22"/>
              </w:rPr>
            </w:pPr>
          </w:p>
          <w:p w:rsidR="00A97A80" w:rsidRDefault="00A97A80" w:rsidP="00821F26">
            <w:pPr>
              <w:spacing w:line="260" w:lineRule="exact"/>
              <w:jc w:val="both"/>
              <w:rPr>
                <w:sz w:val="22"/>
              </w:rPr>
            </w:pPr>
            <w:r>
              <w:rPr>
                <w:sz w:val="22"/>
              </w:rPr>
              <w:t>There were no changes in estimates that have had a material effect in the current interim results.</w:t>
            </w:r>
          </w:p>
          <w:p w:rsidR="00A97A80" w:rsidRDefault="00A97A80" w:rsidP="00821F26">
            <w:pPr>
              <w:spacing w:line="260" w:lineRule="exact"/>
              <w:jc w:val="both"/>
              <w:rPr>
                <w:sz w:val="22"/>
              </w:rPr>
            </w:pPr>
          </w:p>
        </w:tc>
      </w:tr>
      <w:tr w:rsidR="00821F26" w:rsidRPr="00FC42FB" w:rsidTr="005647BF">
        <w:tc>
          <w:tcPr>
            <w:tcW w:w="581" w:type="dxa"/>
          </w:tcPr>
          <w:p w:rsidR="00821F26" w:rsidRPr="00FC42FB" w:rsidRDefault="00821F26" w:rsidP="00821F26">
            <w:pPr>
              <w:spacing w:line="260" w:lineRule="exact"/>
              <w:jc w:val="center"/>
              <w:rPr>
                <w:sz w:val="22"/>
              </w:rPr>
            </w:pPr>
            <w:r>
              <w:rPr>
                <w:sz w:val="22"/>
              </w:rPr>
              <w:t xml:space="preserve"> </w:t>
            </w:r>
            <w:r w:rsidR="00545CCD">
              <w:rPr>
                <w:sz w:val="22"/>
              </w:rPr>
              <w:t>4</w:t>
            </w:r>
            <w:r w:rsidRPr="00FC42FB">
              <w:rPr>
                <w:sz w:val="22"/>
              </w:rPr>
              <w:t>.</w:t>
            </w:r>
          </w:p>
        </w:tc>
        <w:tc>
          <w:tcPr>
            <w:tcW w:w="8793" w:type="dxa"/>
            <w:gridSpan w:val="4"/>
          </w:tcPr>
          <w:p w:rsidR="00821F26" w:rsidRDefault="00821F26" w:rsidP="00821F26">
            <w:pPr>
              <w:spacing w:line="260" w:lineRule="exact"/>
              <w:jc w:val="both"/>
              <w:rPr>
                <w:sz w:val="22"/>
              </w:rPr>
            </w:pPr>
            <w:r>
              <w:rPr>
                <w:sz w:val="22"/>
              </w:rPr>
              <w:t>Changes in Composition of the Group</w:t>
            </w:r>
          </w:p>
          <w:p w:rsidR="00821F26" w:rsidRPr="00FC42FB" w:rsidRDefault="00821F26" w:rsidP="00821F26">
            <w:pPr>
              <w:spacing w:line="260" w:lineRule="exact"/>
              <w:jc w:val="both"/>
              <w:rPr>
                <w:sz w:val="22"/>
              </w:rPr>
            </w:pPr>
          </w:p>
        </w:tc>
      </w:tr>
      <w:tr w:rsidR="00821F26" w:rsidRPr="00FC42FB" w:rsidTr="005647BF">
        <w:tc>
          <w:tcPr>
            <w:tcW w:w="581" w:type="dxa"/>
          </w:tcPr>
          <w:p w:rsidR="00821F26" w:rsidRPr="00FC42FB" w:rsidRDefault="00821F26" w:rsidP="00821F26">
            <w:pPr>
              <w:spacing w:line="260" w:lineRule="exact"/>
              <w:jc w:val="center"/>
              <w:rPr>
                <w:sz w:val="22"/>
              </w:rPr>
            </w:pPr>
          </w:p>
        </w:tc>
        <w:tc>
          <w:tcPr>
            <w:tcW w:w="8793" w:type="dxa"/>
            <w:gridSpan w:val="4"/>
          </w:tcPr>
          <w:p w:rsidR="00821F26" w:rsidRPr="00FC42FB" w:rsidRDefault="00821F26" w:rsidP="00821F26">
            <w:pPr>
              <w:spacing w:line="260" w:lineRule="exact"/>
              <w:jc w:val="both"/>
              <w:rPr>
                <w:sz w:val="22"/>
              </w:rPr>
            </w:pPr>
            <w:r w:rsidRPr="00FC42FB">
              <w:rPr>
                <w:sz w:val="22"/>
              </w:rPr>
              <w:t>The</w:t>
            </w:r>
            <w:r>
              <w:rPr>
                <w:sz w:val="22"/>
              </w:rPr>
              <w:t>re are no changes in the composition of the Group.</w:t>
            </w:r>
          </w:p>
        </w:tc>
      </w:tr>
    </w:tbl>
    <w:p w:rsidR="00E310E9" w:rsidRDefault="00E310E9" w:rsidP="00C76480">
      <w:pPr>
        <w:ind w:left="570"/>
        <w:jc w:val="both"/>
        <w:rPr>
          <w:sz w:val="22"/>
        </w:rPr>
      </w:pPr>
    </w:p>
    <w:tbl>
      <w:tblPr>
        <w:tblW w:w="9360" w:type="dxa"/>
        <w:tblInd w:w="14" w:type="dxa"/>
        <w:tblLayout w:type="fixed"/>
        <w:tblCellMar>
          <w:left w:w="14" w:type="dxa"/>
          <w:right w:w="14" w:type="dxa"/>
        </w:tblCellMar>
        <w:tblLook w:val="0000" w:firstRow="0" w:lastRow="0" w:firstColumn="0" w:lastColumn="0" w:noHBand="0" w:noVBand="0"/>
      </w:tblPr>
      <w:tblGrid>
        <w:gridCol w:w="511"/>
        <w:gridCol w:w="529"/>
        <w:gridCol w:w="540"/>
        <w:gridCol w:w="739"/>
        <w:gridCol w:w="7041"/>
      </w:tblGrid>
      <w:tr w:rsidR="00A25830" w:rsidRPr="00FC42FB" w:rsidTr="00282096">
        <w:tc>
          <w:tcPr>
            <w:tcW w:w="511" w:type="dxa"/>
          </w:tcPr>
          <w:p w:rsidR="00A25830" w:rsidRPr="00FC42FB" w:rsidRDefault="00A25830" w:rsidP="00844BAC">
            <w:pPr>
              <w:jc w:val="both"/>
              <w:rPr>
                <w:sz w:val="22"/>
              </w:rPr>
            </w:pPr>
            <w:r w:rsidRPr="00FC42FB">
              <w:rPr>
                <w:sz w:val="22"/>
              </w:rPr>
              <w:t xml:space="preserve">   </w:t>
            </w:r>
            <w:r w:rsidR="00545CCD">
              <w:rPr>
                <w:sz w:val="22"/>
              </w:rPr>
              <w:t>5</w:t>
            </w:r>
            <w:r w:rsidRPr="00FC42FB">
              <w:rPr>
                <w:sz w:val="22"/>
              </w:rPr>
              <w:t>.</w:t>
            </w:r>
          </w:p>
        </w:tc>
        <w:tc>
          <w:tcPr>
            <w:tcW w:w="8849" w:type="dxa"/>
            <w:gridSpan w:val="4"/>
          </w:tcPr>
          <w:p w:rsidR="00A25830" w:rsidRPr="00FC42FB" w:rsidRDefault="00A25830" w:rsidP="00282096">
            <w:pPr>
              <w:jc w:val="both"/>
              <w:rPr>
                <w:sz w:val="22"/>
              </w:rPr>
            </w:pPr>
            <w:r w:rsidRPr="00FC42FB">
              <w:rPr>
                <w:sz w:val="22"/>
              </w:rPr>
              <w:t>Auditors’ Report on Preceding Annual Financial Statements</w:t>
            </w:r>
          </w:p>
        </w:tc>
      </w:tr>
      <w:tr w:rsidR="00A25830" w:rsidRPr="00FC42FB" w:rsidTr="00282096">
        <w:trPr>
          <w:cantSplit/>
        </w:trPr>
        <w:tc>
          <w:tcPr>
            <w:tcW w:w="511" w:type="dxa"/>
          </w:tcPr>
          <w:p w:rsidR="00A25830" w:rsidRPr="00FC42FB" w:rsidRDefault="00A25830" w:rsidP="00282096">
            <w:pPr>
              <w:jc w:val="right"/>
              <w:rPr>
                <w:sz w:val="22"/>
              </w:rPr>
            </w:pPr>
          </w:p>
        </w:tc>
        <w:tc>
          <w:tcPr>
            <w:tcW w:w="8849" w:type="dxa"/>
            <w:gridSpan w:val="4"/>
          </w:tcPr>
          <w:p w:rsidR="00A25830" w:rsidRPr="00FC42FB" w:rsidRDefault="00A25830" w:rsidP="00282096">
            <w:pPr>
              <w:jc w:val="both"/>
              <w:rPr>
                <w:sz w:val="22"/>
              </w:rPr>
            </w:pPr>
            <w:r w:rsidRPr="00FC42FB">
              <w:rPr>
                <w:sz w:val="22"/>
              </w:rPr>
              <w:t>The audit report of the preceding annual financial statements was not subject to any qualification.</w:t>
            </w:r>
          </w:p>
        </w:tc>
      </w:tr>
      <w:tr w:rsidR="00A25830" w:rsidRPr="00FC42FB" w:rsidTr="00282096">
        <w:tc>
          <w:tcPr>
            <w:tcW w:w="511" w:type="dxa"/>
          </w:tcPr>
          <w:p w:rsidR="00A25830" w:rsidRPr="00FC42FB" w:rsidRDefault="00A25830" w:rsidP="00282096">
            <w:pPr>
              <w:jc w:val="right"/>
              <w:rPr>
                <w:sz w:val="22"/>
              </w:rPr>
            </w:pPr>
          </w:p>
        </w:tc>
        <w:tc>
          <w:tcPr>
            <w:tcW w:w="529" w:type="dxa"/>
          </w:tcPr>
          <w:p w:rsidR="00A25830" w:rsidRPr="00FC42FB" w:rsidRDefault="00A25830" w:rsidP="00282096">
            <w:pPr>
              <w:jc w:val="both"/>
              <w:rPr>
                <w:sz w:val="22"/>
              </w:rPr>
            </w:pPr>
          </w:p>
        </w:tc>
        <w:tc>
          <w:tcPr>
            <w:tcW w:w="540" w:type="dxa"/>
          </w:tcPr>
          <w:p w:rsidR="00A25830" w:rsidRPr="00FC42FB" w:rsidRDefault="00A25830" w:rsidP="00282096">
            <w:pPr>
              <w:jc w:val="both"/>
              <w:rPr>
                <w:sz w:val="22"/>
              </w:rPr>
            </w:pPr>
          </w:p>
        </w:tc>
        <w:tc>
          <w:tcPr>
            <w:tcW w:w="739" w:type="dxa"/>
          </w:tcPr>
          <w:p w:rsidR="00A25830" w:rsidRPr="00FC42FB" w:rsidRDefault="00A25830" w:rsidP="00282096">
            <w:pPr>
              <w:jc w:val="both"/>
              <w:rPr>
                <w:sz w:val="22"/>
              </w:rPr>
            </w:pPr>
          </w:p>
        </w:tc>
        <w:tc>
          <w:tcPr>
            <w:tcW w:w="7041" w:type="dxa"/>
          </w:tcPr>
          <w:p w:rsidR="00A25830" w:rsidRPr="00FC42FB" w:rsidRDefault="00A25830" w:rsidP="00282096">
            <w:pPr>
              <w:jc w:val="both"/>
              <w:rPr>
                <w:sz w:val="22"/>
              </w:rPr>
            </w:pPr>
          </w:p>
        </w:tc>
      </w:tr>
      <w:tr w:rsidR="00A25830" w:rsidTr="00282096">
        <w:tc>
          <w:tcPr>
            <w:tcW w:w="511" w:type="dxa"/>
          </w:tcPr>
          <w:p w:rsidR="00A25830" w:rsidRDefault="00545CCD" w:rsidP="00044C46">
            <w:pPr>
              <w:jc w:val="center"/>
              <w:rPr>
                <w:sz w:val="22"/>
              </w:rPr>
            </w:pPr>
            <w:r>
              <w:rPr>
                <w:sz w:val="22"/>
              </w:rPr>
              <w:t>6</w:t>
            </w:r>
            <w:r w:rsidR="00A25830">
              <w:rPr>
                <w:sz w:val="22"/>
              </w:rPr>
              <w:t>.</w:t>
            </w:r>
          </w:p>
        </w:tc>
        <w:tc>
          <w:tcPr>
            <w:tcW w:w="8849" w:type="dxa"/>
            <w:gridSpan w:val="4"/>
          </w:tcPr>
          <w:p w:rsidR="00A25830" w:rsidRDefault="00A25830" w:rsidP="00282096">
            <w:pPr>
              <w:jc w:val="both"/>
              <w:rPr>
                <w:sz w:val="22"/>
              </w:rPr>
            </w:pPr>
            <w:r>
              <w:rPr>
                <w:sz w:val="22"/>
              </w:rPr>
              <w:t>Comments about Seasonal or Cyclical Factors</w:t>
            </w:r>
          </w:p>
        </w:tc>
      </w:tr>
      <w:tr w:rsidR="00A25830" w:rsidTr="00282096">
        <w:trPr>
          <w:cantSplit/>
          <w:trHeight w:val="288"/>
        </w:trPr>
        <w:tc>
          <w:tcPr>
            <w:tcW w:w="511" w:type="dxa"/>
          </w:tcPr>
          <w:p w:rsidR="00A25830" w:rsidRDefault="00A25830" w:rsidP="00282096">
            <w:pPr>
              <w:jc w:val="right"/>
              <w:rPr>
                <w:sz w:val="22"/>
              </w:rPr>
            </w:pPr>
          </w:p>
        </w:tc>
        <w:tc>
          <w:tcPr>
            <w:tcW w:w="8849" w:type="dxa"/>
            <w:gridSpan w:val="4"/>
          </w:tcPr>
          <w:p w:rsidR="00A25830" w:rsidRDefault="00A25830" w:rsidP="00282096">
            <w:pPr>
              <w:jc w:val="both"/>
              <w:rPr>
                <w:sz w:val="22"/>
              </w:rPr>
            </w:pPr>
            <w:r>
              <w:rPr>
                <w:sz w:val="22"/>
              </w:rPr>
              <w:t>The Group’s operations were not affected by seasonality or cyclicality.</w:t>
            </w:r>
          </w:p>
        </w:tc>
      </w:tr>
      <w:tr w:rsidR="00A25830" w:rsidTr="00282096">
        <w:trPr>
          <w:cantSplit/>
        </w:trPr>
        <w:tc>
          <w:tcPr>
            <w:tcW w:w="511" w:type="dxa"/>
          </w:tcPr>
          <w:p w:rsidR="00A25830" w:rsidRDefault="00A25830" w:rsidP="00282096">
            <w:pPr>
              <w:jc w:val="right"/>
              <w:rPr>
                <w:sz w:val="22"/>
              </w:rPr>
            </w:pPr>
          </w:p>
        </w:tc>
        <w:tc>
          <w:tcPr>
            <w:tcW w:w="8849" w:type="dxa"/>
            <w:gridSpan w:val="4"/>
          </w:tcPr>
          <w:p w:rsidR="00A25830" w:rsidRDefault="00A25830" w:rsidP="00282096">
            <w:pPr>
              <w:jc w:val="both"/>
              <w:rPr>
                <w:sz w:val="22"/>
              </w:rPr>
            </w:pPr>
          </w:p>
        </w:tc>
      </w:tr>
      <w:tr w:rsidR="00A25830" w:rsidTr="00282096">
        <w:trPr>
          <w:cantSplit/>
        </w:trPr>
        <w:tc>
          <w:tcPr>
            <w:tcW w:w="511" w:type="dxa"/>
          </w:tcPr>
          <w:p w:rsidR="00A25830" w:rsidRDefault="00545CCD" w:rsidP="00044C46">
            <w:pPr>
              <w:jc w:val="center"/>
              <w:rPr>
                <w:sz w:val="22"/>
              </w:rPr>
            </w:pPr>
            <w:r>
              <w:rPr>
                <w:sz w:val="22"/>
              </w:rPr>
              <w:t>7</w:t>
            </w:r>
            <w:r w:rsidR="00A25830">
              <w:rPr>
                <w:sz w:val="22"/>
              </w:rPr>
              <w:t>.</w:t>
            </w:r>
          </w:p>
        </w:tc>
        <w:tc>
          <w:tcPr>
            <w:tcW w:w="8849" w:type="dxa"/>
            <w:gridSpan w:val="4"/>
          </w:tcPr>
          <w:p w:rsidR="00A25830" w:rsidRDefault="00A25830" w:rsidP="00282096">
            <w:pPr>
              <w:jc w:val="both"/>
              <w:rPr>
                <w:sz w:val="22"/>
              </w:rPr>
            </w:pPr>
            <w:r>
              <w:rPr>
                <w:sz w:val="22"/>
              </w:rPr>
              <w:t>Unusual Items due to their Nature, Size or Incidence</w:t>
            </w:r>
          </w:p>
        </w:tc>
      </w:tr>
      <w:tr w:rsidR="00A25830" w:rsidTr="00282096">
        <w:tc>
          <w:tcPr>
            <w:tcW w:w="511" w:type="dxa"/>
          </w:tcPr>
          <w:p w:rsidR="00A25830" w:rsidRDefault="00A25830" w:rsidP="00282096">
            <w:pPr>
              <w:jc w:val="right"/>
              <w:rPr>
                <w:sz w:val="22"/>
              </w:rPr>
            </w:pPr>
          </w:p>
        </w:tc>
        <w:tc>
          <w:tcPr>
            <w:tcW w:w="8849" w:type="dxa"/>
            <w:gridSpan w:val="4"/>
          </w:tcPr>
          <w:p w:rsidR="00A25830" w:rsidRDefault="00A25830" w:rsidP="00FD46BE">
            <w:pPr>
              <w:jc w:val="both"/>
              <w:rPr>
                <w:sz w:val="22"/>
              </w:rPr>
            </w:pPr>
            <w:r>
              <w:rPr>
                <w:sz w:val="22"/>
              </w:rPr>
              <w:t xml:space="preserve">There </w:t>
            </w:r>
            <w:r w:rsidR="00C41E6B">
              <w:rPr>
                <w:sz w:val="22"/>
              </w:rPr>
              <w:t>wer</w:t>
            </w:r>
            <w:r>
              <w:rPr>
                <w:sz w:val="22"/>
              </w:rPr>
              <w:t xml:space="preserve">e no items affecting assets, liabilities, equity, net income, or cash flows that are unusual because of their nature, size, or incidence during the </w:t>
            </w:r>
            <w:r w:rsidR="00C659F1">
              <w:rPr>
                <w:sz w:val="22"/>
              </w:rPr>
              <w:t xml:space="preserve">financial </w:t>
            </w:r>
            <w:r w:rsidR="00FD46BE">
              <w:rPr>
                <w:sz w:val="22"/>
              </w:rPr>
              <w:t>period</w:t>
            </w:r>
            <w:r w:rsidR="00C659F1">
              <w:rPr>
                <w:sz w:val="22"/>
              </w:rPr>
              <w:t xml:space="preserve"> ended</w:t>
            </w:r>
            <w:r w:rsidR="00371501">
              <w:rPr>
                <w:sz w:val="22"/>
              </w:rPr>
              <w:t xml:space="preserve"> </w:t>
            </w:r>
            <w:r>
              <w:rPr>
                <w:sz w:val="22"/>
              </w:rPr>
              <w:t>3</w:t>
            </w:r>
            <w:r w:rsidR="00C659F1">
              <w:rPr>
                <w:sz w:val="22"/>
              </w:rPr>
              <w:t>1</w:t>
            </w:r>
            <w:r w:rsidR="00ED5468">
              <w:rPr>
                <w:sz w:val="22"/>
              </w:rPr>
              <w:t xml:space="preserve"> </w:t>
            </w:r>
            <w:r w:rsidR="00577CDC">
              <w:rPr>
                <w:sz w:val="22"/>
              </w:rPr>
              <w:t>March 2014</w:t>
            </w:r>
            <w:r>
              <w:rPr>
                <w:sz w:val="22"/>
              </w:rPr>
              <w:t>.</w:t>
            </w:r>
          </w:p>
        </w:tc>
      </w:tr>
      <w:tr w:rsidR="00A25830" w:rsidTr="00282096">
        <w:tc>
          <w:tcPr>
            <w:tcW w:w="511" w:type="dxa"/>
          </w:tcPr>
          <w:p w:rsidR="00A25830" w:rsidRDefault="00A25830" w:rsidP="00282096">
            <w:pPr>
              <w:jc w:val="right"/>
              <w:rPr>
                <w:sz w:val="22"/>
              </w:rPr>
            </w:pPr>
          </w:p>
        </w:tc>
        <w:tc>
          <w:tcPr>
            <w:tcW w:w="529" w:type="dxa"/>
          </w:tcPr>
          <w:p w:rsidR="00A25830" w:rsidRDefault="00A25830" w:rsidP="00282096">
            <w:pPr>
              <w:jc w:val="both"/>
              <w:rPr>
                <w:sz w:val="22"/>
              </w:rPr>
            </w:pPr>
          </w:p>
        </w:tc>
        <w:tc>
          <w:tcPr>
            <w:tcW w:w="540" w:type="dxa"/>
          </w:tcPr>
          <w:p w:rsidR="00A25830" w:rsidRDefault="00A25830" w:rsidP="00282096">
            <w:pPr>
              <w:jc w:val="both"/>
              <w:rPr>
                <w:sz w:val="22"/>
              </w:rPr>
            </w:pPr>
          </w:p>
        </w:tc>
        <w:tc>
          <w:tcPr>
            <w:tcW w:w="739" w:type="dxa"/>
          </w:tcPr>
          <w:p w:rsidR="00A25830" w:rsidRDefault="00A25830" w:rsidP="00282096">
            <w:pPr>
              <w:jc w:val="both"/>
              <w:rPr>
                <w:sz w:val="22"/>
              </w:rPr>
            </w:pPr>
          </w:p>
        </w:tc>
        <w:tc>
          <w:tcPr>
            <w:tcW w:w="7041" w:type="dxa"/>
          </w:tcPr>
          <w:p w:rsidR="00A25830" w:rsidRDefault="00A25830" w:rsidP="00282096">
            <w:pPr>
              <w:jc w:val="both"/>
              <w:rPr>
                <w:sz w:val="22"/>
              </w:rPr>
            </w:pPr>
          </w:p>
        </w:tc>
      </w:tr>
      <w:tr w:rsidR="00A25830" w:rsidTr="00282096">
        <w:trPr>
          <w:cantSplit/>
        </w:trPr>
        <w:tc>
          <w:tcPr>
            <w:tcW w:w="511" w:type="dxa"/>
          </w:tcPr>
          <w:p w:rsidR="00A25830" w:rsidRDefault="00545CCD" w:rsidP="00044C46">
            <w:pPr>
              <w:jc w:val="center"/>
              <w:rPr>
                <w:sz w:val="22"/>
              </w:rPr>
            </w:pPr>
            <w:r>
              <w:rPr>
                <w:sz w:val="22"/>
              </w:rPr>
              <w:t>8</w:t>
            </w:r>
            <w:r w:rsidR="00A25830">
              <w:rPr>
                <w:sz w:val="22"/>
              </w:rPr>
              <w:t>.</w:t>
            </w:r>
          </w:p>
        </w:tc>
        <w:tc>
          <w:tcPr>
            <w:tcW w:w="8849" w:type="dxa"/>
            <w:gridSpan w:val="4"/>
          </w:tcPr>
          <w:p w:rsidR="00A25830" w:rsidRDefault="00A25830" w:rsidP="00282096">
            <w:pPr>
              <w:jc w:val="both"/>
              <w:rPr>
                <w:sz w:val="22"/>
              </w:rPr>
            </w:pPr>
            <w:r>
              <w:rPr>
                <w:sz w:val="22"/>
              </w:rPr>
              <w:t>Debt and Equity Securities</w:t>
            </w:r>
          </w:p>
        </w:tc>
      </w:tr>
    </w:tbl>
    <w:p w:rsidR="00244FA9" w:rsidRDefault="00244FA9" w:rsidP="00244FA9">
      <w:pPr>
        <w:ind w:left="550"/>
        <w:rPr>
          <w:sz w:val="22"/>
        </w:rPr>
      </w:pPr>
      <w:r>
        <w:rPr>
          <w:sz w:val="22"/>
        </w:rPr>
        <w:t>Th</w:t>
      </w:r>
      <w:r w:rsidRPr="00244FA9">
        <w:rPr>
          <w:sz w:val="22"/>
        </w:rPr>
        <w:t xml:space="preserve">ere </w:t>
      </w:r>
      <w:r w:rsidR="00A97A80">
        <w:rPr>
          <w:sz w:val="22"/>
        </w:rPr>
        <w:t>were</w:t>
      </w:r>
      <w:r w:rsidRPr="00244FA9">
        <w:rPr>
          <w:sz w:val="22"/>
        </w:rPr>
        <w:t xml:space="preserve"> no issuances, cancellations, repurchases, resale and repayments of debt and equity securities.</w:t>
      </w:r>
    </w:p>
    <w:p w:rsidR="00E14C1E" w:rsidRPr="00244FA9" w:rsidRDefault="00E14C1E" w:rsidP="00244FA9">
      <w:pPr>
        <w:ind w:left="550"/>
        <w:rPr>
          <w:sz w:val="22"/>
        </w:rPr>
      </w:pPr>
    </w:p>
    <w:tbl>
      <w:tblPr>
        <w:tblW w:w="9374" w:type="dxa"/>
        <w:tblLayout w:type="fixed"/>
        <w:tblCellMar>
          <w:left w:w="14" w:type="dxa"/>
          <w:right w:w="14" w:type="dxa"/>
        </w:tblCellMar>
        <w:tblLook w:val="0000" w:firstRow="0" w:lastRow="0" w:firstColumn="0" w:lastColumn="0" w:noHBand="0" w:noVBand="0"/>
      </w:tblPr>
      <w:tblGrid>
        <w:gridCol w:w="13"/>
        <w:gridCol w:w="512"/>
        <w:gridCol w:w="297"/>
        <w:gridCol w:w="360"/>
        <w:gridCol w:w="2075"/>
        <w:gridCol w:w="1435"/>
        <w:gridCol w:w="1444"/>
        <w:gridCol w:w="90"/>
        <w:gridCol w:w="1349"/>
        <w:gridCol w:w="1799"/>
      </w:tblGrid>
      <w:tr w:rsidR="00A25830" w:rsidRPr="00E935C1" w:rsidTr="00287308">
        <w:trPr>
          <w:gridBefore w:val="1"/>
          <w:wBefore w:w="13" w:type="dxa"/>
          <w:cantSplit/>
        </w:trPr>
        <w:tc>
          <w:tcPr>
            <w:tcW w:w="512" w:type="dxa"/>
          </w:tcPr>
          <w:p w:rsidR="00A25830" w:rsidRPr="00E935C1" w:rsidRDefault="00044C46" w:rsidP="00044C46">
            <w:pPr>
              <w:rPr>
                <w:sz w:val="22"/>
              </w:rPr>
            </w:pPr>
            <w:r>
              <w:rPr>
                <w:sz w:val="22"/>
              </w:rPr>
              <w:t xml:space="preserve">  </w:t>
            </w:r>
            <w:r w:rsidR="00545CCD">
              <w:rPr>
                <w:sz w:val="22"/>
              </w:rPr>
              <w:t xml:space="preserve"> 9</w:t>
            </w:r>
            <w:r>
              <w:rPr>
                <w:sz w:val="22"/>
              </w:rPr>
              <w:t>.</w:t>
            </w:r>
          </w:p>
        </w:tc>
        <w:tc>
          <w:tcPr>
            <w:tcW w:w="8849" w:type="dxa"/>
            <w:gridSpan w:val="8"/>
          </w:tcPr>
          <w:p w:rsidR="00A25830" w:rsidRPr="00E935C1" w:rsidRDefault="00A25830" w:rsidP="00282096">
            <w:pPr>
              <w:jc w:val="both"/>
              <w:rPr>
                <w:sz w:val="22"/>
              </w:rPr>
            </w:pPr>
            <w:r w:rsidRPr="00E935C1">
              <w:rPr>
                <w:sz w:val="22"/>
              </w:rPr>
              <w:t>Dividend Paid</w:t>
            </w:r>
          </w:p>
        </w:tc>
      </w:tr>
      <w:tr w:rsidR="00A25830" w:rsidTr="00287308">
        <w:trPr>
          <w:gridBefore w:val="1"/>
          <w:wBefore w:w="13" w:type="dxa"/>
          <w:cantSplit/>
        </w:trPr>
        <w:tc>
          <w:tcPr>
            <w:tcW w:w="512" w:type="dxa"/>
          </w:tcPr>
          <w:p w:rsidR="00A25830" w:rsidRDefault="00A25830" w:rsidP="00282096">
            <w:pPr>
              <w:jc w:val="right"/>
              <w:rPr>
                <w:sz w:val="22"/>
              </w:rPr>
            </w:pPr>
          </w:p>
        </w:tc>
        <w:tc>
          <w:tcPr>
            <w:tcW w:w="8849" w:type="dxa"/>
            <w:gridSpan w:val="8"/>
          </w:tcPr>
          <w:p w:rsidR="00A25830" w:rsidRDefault="00C659F1" w:rsidP="00C659F1">
            <w:pPr>
              <w:jc w:val="both"/>
              <w:rPr>
                <w:sz w:val="22"/>
              </w:rPr>
            </w:pPr>
            <w:r>
              <w:rPr>
                <w:sz w:val="22"/>
              </w:rPr>
              <w:t xml:space="preserve">No dividend was paid </w:t>
            </w:r>
            <w:r w:rsidR="00445D7E" w:rsidRPr="00445D7E">
              <w:rPr>
                <w:sz w:val="22"/>
              </w:rPr>
              <w:t>during the current quarter.</w:t>
            </w:r>
          </w:p>
        </w:tc>
      </w:tr>
      <w:tr w:rsidR="00A25830" w:rsidTr="00287308">
        <w:trPr>
          <w:gridBefore w:val="1"/>
          <w:wBefore w:w="13" w:type="dxa"/>
          <w:cantSplit/>
        </w:trPr>
        <w:tc>
          <w:tcPr>
            <w:tcW w:w="512" w:type="dxa"/>
          </w:tcPr>
          <w:p w:rsidR="00A25830" w:rsidRPr="00403684" w:rsidRDefault="00A25830" w:rsidP="00282096">
            <w:pPr>
              <w:jc w:val="right"/>
              <w:rPr>
                <w:sz w:val="22"/>
              </w:rPr>
            </w:pPr>
          </w:p>
        </w:tc>
        <w:tc>
          <w:tcPr>
            <w:tcW w:w="8849" w:type="dxa"/>
            <w:gridSpan w:val="8"/>
          </w:tcPr>
          <w:p w:rsidR="00A25830" w:rsidRPr="00403684" w:rsidRDefault="00A25830" w:rsidP="00282096">
            <w:pPr>
              <w:jc w:val="both"/>
              <w:rPr>
                <w:sz w:val="22"/>
              </w:rPr>
            </w:pPr>
          </w:p>
        </w:tc>
      </w:tr>
      <w:tr w:rsidR="00BC1844" w:rsidTr="00287308">
        <w:trPr>
          <w:cantSplit/>
        </w:trPr>
        <w:tc>
          <w:tcPr>
            <w:tcW w:w="525" w:type="dxa"/>
            <w:gridSpan w:val="2"/>
          </w:tcPr>
          <w:p w:rsidR="00BC1844" w:rsidRPr="00403684" w:rsidRDefault="00044C46" w:rsidP="00BC1844">
            <w:pPr>
              <w:jc w:val="center"/>
              <w:rPr>
                <w:sz w:val="22"/>
              </w:rPr>
            </w:pPr>
            <w:r w:rsidRPr="00403684">
              <w:rPr>
                <w:sz w:val="22"/>
              </w:rPr>
              <w:t xml:space="preserve"> </w:t>
            </w:r>
            <w:r w:rsidR="00A97A80">
              <w:rPr>
                <w:sz w:val="22"/>
              </w:rPr>
              <w:t>1</w:t>
            </w:r>
            <w:r w:rsidR="00545CCD">
              <w:rPr>
                <w:sz w:val="22"/>
              </w:rPr>
              <w:t>0</w:t>
            </w:r>
            <w:r w:rsidR="00BC1844" w:rsidRPr="00403684">
              <w:rPr>
                <w:sz w:val="22"/>
              </w:rPr>
              <w:t>.</w:t>
            </w:r>
          </w:p>
        </w:tc>
        <w:tc>
          <w:tcPr>
            <w:tcW w:w="8849" w:type="dxa"/>
            <w:gridSpan w:val="8"/>
          </w:tcPr>
          <w:p w:rsidR="00BC1844" w:rsidRPr="00403684" w:rsidRDefault="00BC1844" w:rsidP="002D40E6">
            <w:pPr>
              <w:jc w:val="both"/>
              <w:rPr>
                <w:sz w:val="22"/>
              </w:rPr>
            </w:pPr>
            <w:r w:rsidRPr="00403684">
              <w:rPr>
                <w:sz w:val="22"/>
              </w:rPr>
              <w:t>Operating Revenue</w:t>
            </w:r>
          </w:p>
          <w:p w:rsidR="00BC1844" w:rsidRPr="00403684" w:rsidRDefault="00BC1844" w:rsidP="002D40E6">
            <w:pPr>
              <w:jc w:val="both"/>
              <w:rPr>
                <w:b/>
                <w:sz w:val="22"/>
              </w:rPr>
            </w:pPr>
            <w:r w:rsidRPr="00ED5468">
              <w:rPr>
                <w:b/>
                <w:sz w:val="22"/>
              </w:rPr>
              <w:t xml:space="preserve">                                                     </w:t>
            </w:r>
            <w:r w:rsidR="00ED5468" w:rsidRPr="00ED5468">
              <w:rPr>
                <w:b/>
                <w:sz w:val="22"/>
              </w:rPr>
              <w:t xml:space="preserve">  Current</w:t>
            </w:r>
            <w:r w:rsidRPr="00403684">
              <w:rPr>
                <w:b/>
                <w:sz w:val="22"/>
              </w:rPr>
              <w:t xml:space="preserve"> Quarter                </w:t>
            </w:r>
            <w:r w:rsidR="00ED5468">
              <w:rPr>
                <w:b/>
                <w:sz w:val="22"/>
              </w:rPr>
              <w:t xml:space="preserve">   </w:t>
            </w:r>
            <w:r w:rsidRPr="00403684">
              <w:rPr>
                <w:b/>
                <w:sz w:val="22"/>
              </w:rPr>
              <w:t>Cumulative Quarter</w:t>
            </w:r>
          </w:p>
          <w:p w:rsidR="00BC1844" w:rsidRPr="00403684" w:rsidRDefault="00BC1844" w:rsidP="002D40E6">
            <w:pPr>
              <w:jc w:val="both"/>
              <w:rPr>
                <w:sz w:val="22"/>
              </w:rPr>
            </w:pPr>
            <w:r w:rsidRPr="00403684">
              <w:rPr>
                <w:b/>
                <w:sz w:val="22"/>
              </w:rPr>
              <w:t xml:space="preserve">                                                       3 months ended                      </w:t>
            </w:r>
            <w:r w:rsidR="00FD46BE">
              <w:rPr>
                <w:b/>
                <w:sz w:val="22"/>
              </w:rPr>
              <w:t xml:space="preserve">  3</w:t>
            </w:r>
            <w:r w:rsidRPr="00403684">
              <w:rPr>
                <w:b/>
                <w:sz w:val="22"/>
              </w:rPr>
              <w:t xml:space="preserve"> months ended</w:t>
            </w:r>
            <w:r w:rsidRPr="00403684">
              <w:rPr>
                <w:sz w:val="22"/>
              </w:rPr>
              <w:t xml:space="preserve"> </w:t>
            </w:r>
          </w:p>
          <w:p w:rsidR="00BC1844" w:rsidRPr="00403684" w:rsidRDefault="00BC1844" w:rsidP="002D40E6">
            <w:pPr>
              <w:jc w:val="both"/>
              <w:rPr>
                <w:b/>
                <w:sz w:val="22"/>
              </w:rPr>
            </w:pPr>
            <w:r w:rsidRPr="00403684">
              <w:rPr>
                <w:sz w:val="22"/>
              </w:rPr>
              <w:t xml:space="preserve">                                              </w:t>
            </w:r>
            <w:r w:rsidRPr="00403684">
              <w:rPr>
                <w:b/>
                <w:sz w:val="22"/>
              </w:rPr>
              <w:t>3</w:t>
            </w:r>
            <w:r w:rsidR="00C659F1">
              <w:rPr>
                <w:b/>
                <w:sz w:val="22"/>
              </w:rPr>
              <w:t>1</w:t>
            </w:r>
            <w:r w:rsidRPr="00403684">
              <w:rPr>
                <w:b/>
                <w:sz w:val="22"/>
              </w:rPr>
              <w:t xml:space="preserve"> </w:t>
            </w:r>
            <w:r w:rsidR="00577CDC">
              <w:rPr>
                <w:b/>
                <w:sz w:val="22"/>
              </w:rPr>
              <w:t>Mar 2014</w:t>
            </w:r>
            <w:r w:rsidRPr="00403684">
              <w:rPr>
                <w:b/>
                <w:sz w:val="22"/>
              </w:rPr>
              <w:t xml:space="preserve">    3</w:t>
            </w:r>
            <w:r w:rsidR="00C659F1">
              <w:rPr>
                <w:b/>
                <w:sz w:val="22"/>
              </w:rPr>
              <w:t>1</w:t>
            </w:r>
            <w:r w:rsidRPr="00403684">
              <w:rPr>
                <w:b/>
                <w:sz w:val="22"/>
              </w:rPr>
              <w:t xml:space="preserve"> </w:t>
            </w:r>
            <w:r w:rsidR="00577CDC">
              <w:rPr>
                <w:b/>
                <w:sz w:val="22"/>
              </w:rPr>
              <w:t>Mar 2013</w:t>
            </w:r>
            <w:r w:rsidRPr="00403684">
              <w:rPr>
                <w:b/>
                <w:sz w:val="22"/>
              </w:rPr>
              <w:t xml:space="preserve">       </w:t>
            </w:r>
            <w:r w:rsidR="00C659F1" w:rsidRPr="00403684">
              <w:rPr>
                <w:b/>
                <w:sz w:val="22"/>
              </w:rPr>
              <w:t>3</w:t>
            </w:r>
            <w:r w:rsidR="00C659F1">
              <w:rPr>
                <w:b/>
                <w:sz w:val="22"/>
              </w:rPr>
              <w:t>1</w:t>
            </w:r>
            <w:r w:rsidR="00C659F1" w:rsidRPr="00403684">
              <w:rPr>
                <w:b/>
                <w:sz w:val="22"/>
              </w:rPr>
              <w:t xml:space="preserve"> </w:t>
            </w:r>
            <w:r w:rsidR="00577CDC">
              <w:rPr>
                <w:b/>
                <w:sz w:val="22"/>
              </w:rPr>
              <w:t>Mar 2014</w:t>
            </w:r>
            <w:r w:rsidR="00C659F1" w:rsidRPr="00403684">
              <w:rPr>
                <w:b/>
                <w:sz w:val="22"/>
              </w:rPr>
              <w:t xml:space="preserve">    3</w:t>
            </w:r>
            <w:r w:rsidR="00C659F1">
              <w:rPr>
                <w:b/>
                <w:sz w:val="22"/>
              </w:rPr>
              <w:t>1</w:t>
            </w:r>
            <w:r w:rsidR="00C659F1" w:rsidRPr="00403684">
              <w:rPr>
                <w:b/>
                <w:sz w:val="22"/>
              </w:rPr>
              <w:t xml:space="preserve"> </w:t>
            </w:r>
            <w:r w:rsidR="00FD46BE">
              <w:rPr>
                <w:b/>
                <w:sz w:val="22"/>
              </w:rPr>
              <w:t>Mar</w:t>
            </w:r>
            <w:r w:rsidR="00C659F1" w:rsidRPr="00403684">
              <w:rPr>
                <w:b/>
                <w:sz w:val="22"/>
              </w:rPr>
              <w:t xml:space="preserve"> 201</w:t>
            </w:r>
            <w:r w:rsidR="00577CDC">
              <w:rPr>
                <w:b/>
                <w:sz w:val="22"/>
              </w:rPr>
              <w:t>3</w:t>
            </w:r>
            <w:r w:rsidRPr="00403684">
              <w:rPr>
                <w:b/>
                <w:sz w:val="22"/>
              </w:rPr>
              <w:t xml:space="preserve"> </w:t>
            </w:r>
          </w:p>
          <w:p w:rsidR="00BC1844" w:rsidRPr="00403684" w:rsidRDefault="00BC1844" w:rsidP="002D40E6">
            <w:pPr>
              <w:jc w:val="both"/>
              <w:rPr>
                <w:sz w:val="22"/>
              </w:rPr>
            </w:pPr>
            <w:r w:rsidRPr="00403684">
              <w:rPr>
                <w:b/>
                <w:sz w:val="22"/>
              </w:rPr>
              <w:t xml:space="preserve">                                                  </w:t>
            </w:r>
            <w:r w:rsidRPr="00403684">
              <w:rPr>
                <w:sz w:val="22"/>
              </w:rPr>
              <w:t xml:space="preserve">RM’000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p>
          <w:p w:rsidR="00BC1844" w:rsidRPr="00403684" w:rsidRDefault="00BC1844" w:rsidP="002D40E6">
            <w:pPr>
              <w:jc w:val="both"/>
              <w:rPr>
                <w:sz w:val="22"/>
              </w:rPr>
            </w:pPr>
            <w:r w:rsidRPr="00403684">
              <w:rPr>
                <w:sz w:val="22"/>
              </w:rPr>
              <w:t>Sales of galvanized steel</w:t>
            </w:r>
          </w:p>
          <w:p w:rsidR="00BC1844" w:rsidRPr="00403684" w:rsidRDefault="00C3704D" w:rsidP="002D40E6">
            <w:pPr>
              <w:jc w:val="both"/>
              <w:rPr>
                <w:sz w:val="22"/>
              </w:rPr>
            </w:pPr>
            <w:r w:rsidRPr="00403684">
              <w:rPr>
                <w:sz w:val="22"/>
              </w:rPr>
              <w:t>p</w:t>
            </w:r>
            <w:r w:rsidR="00BC1844" w:rsidRPr="00403684">
              <w:rPr>
                <w:sz w:val="22"/>
              </w:rPr>
              <w:t xml:space="preserve">roducts                                      </w:t>
            </w:r>
            <w:r w:rsidR="00577CDC">
              <w:rPr>
                <w:sz w:val="22"/>
              </w:rPr>
              <w:t>15</w:t>
            </w:r>
            <w:r w:rsidR="00BC1844" w:rsidRPr="00403684">
              <w:rPr>
                <w:sz w:val="22"/>
              </w:rPr>
              <w:t>,</w:t>
            </w:r>
            <w:r w:rsidR="00577CDC">
              <w:rPr>
                <w:sz w:val="22"/>
              </w:rPr>
              <w:t>076</w:t>
            </w:r>
            <w:r w:rsidR="00BC1844" w:rsidRPr="00403684">
              <w:rPr>
                <w:sz w:val="22"/>
              </w:rPr>
              <w:t xml:space="preserve">          </w:t>
            </w:r>
            <w:r w:rsidR="008F5F45" w:rsidRPr="00403684">
              <w:rPr>
                <w:sz w:val="22"/>
              </w:rPr>
              <w:t xml:space="preserve">    </w:t>
            </w:r>
            <w:r w:rsidR="00577CDC">
              <w:rPr>
                <w:sz w:val="22"/>
              </w:rPr>
              <w:t>22</w:t>
            </w:r>
            <w:r w:rsidR="00BC1844" w:rsidRPr="00403684">
              <w:rPr>
                <w:sz w:val="22"/>
              </w:rPr>
              <w:t>,</w:t>
            </w:r>
            <w:r w:rsidR="00577CDC">
              <w:rPr>
                <w:sz w:val="22"/>
              </w:rPr>
              <w:t>425</w:t>
            </w:r>
            <w:r w:rsidR="00BC1844" w:rsidRPr="00403684">
              <w:rPr>
                <w:sz w:val="22"/>
              </w:rPr>
              <w:t xml:space="preserve">    </w:t>
            </w:r>
            <w:r w:rsidR="008F5F45" w:rsidRPr="00403684">
              <w:rPr>
                <w:sz w:val="22"/>
              </w:rPr>
              <w:t xml:space="preserve">    </w:t>
            </w:r>
            <w:r w:rsidR="00371501">
              <w:rPr>
                <w:sz w:val="22"/>
              </w:rPr>
              <w:t xml:space="preserve">      </w:t>
            </w:r>
            <w:r w:rsidR="00577CDC">
              <w:rPr>
                <w:sz w:val="22"/>
              </w:rPr>
              <w:t>15</w:t>
            </w:r>
            <w:r w:rsidR="00BC1844" w:rsidRPr="00403684">
              <w:rPr>
                <w:sz w:val="22"/>
              </w:rPr>
              <w:t>,</w:t>
            </w:r>
            <w:r w:rsidR="00577CDC">
              <w:rPr>
                <w:sz w:val="22"/>
              </w:rPr>
              <w:t>076</w:t>
            </w:r>
            <w:r w:rsidR="008F5F45" w:rsidRPr="00403684">
              <w:rPr>
                <w:sz w:val="22"/>
              </w:rPr>
              <w:t xml:space="preserve">   </w:t>
            </w:r>
            <w:r w:rsidR="00BC1844" w:rsidRPr="00403684">
              <w:rPr>
                <w:sz w:val="22"/>
              </w:rPr>
              <w:t xml:space="preserve">           </w:t>
            </w:r>
            <w:r w:rsidR="00371501">
              <w:rPr>
                <w:sz w:val="22"/>
              </w:rPr>
              <w:t xml:space="preserve"> </w:t>
            </w:r>
            <w:r w:rsidR="00577CDC">
              <w:rPr>
                <w:sz w:val="22"/>
              </w:rPr>
              <w:t>22</w:t>
            </w:r>
            <w:r w:rsidR="008F5F45" w:rsidRPr="00403684">
              <w:rPr>
                <w:sz w:val="22"/>
              </w:rPr>
              <w:t>,</w:t>
            </w:r>
            <w:r w:rsidR="00577CDC">
              <w:rPr>
                <w:sz w:val="22"/>
              </w:rPr>
              <w:t>425</w:t>
            </w:r>
          </w:p>
          <w:p w:rsidR="00BC1844" w:rsidRDefault="00BC1844" w:rsidP="002D40E6">
            <w:pPr>
              <w:jc w:val="both"/>
              <w:rPr>
                <w:sz w:val="22"/>
              </w:rPr>
            </w:pPr>
            <w:r w:rsidRPr="00403684">
              <w:rPr>
                <w:sz w:val="22"/>
              </w:rPr>
              <w:t xml:space="preserve">                                          ____________________________  ___________________________</w:t>
            </w:r>
          </w:p>
          <w:p w:rsidR="00755F74" w:rsidRPr="00403684" w:rsidRDefault="00755F74" w:rsidP="002D40E6">
            <w:pPr>
              <w:jc w:val="both"/>
              <w:rPr>
                <w:sz w:val="22"/>
              </w:rPr>
            </w:pPr>
          </w:p>
          <w:p w:rsidR="00BC1844" w:rsidRPr="00403684" w:rsidRDefault="008F5F45" w:rsidP="002D40E6">
            <w:pPr>
              <w:jc w:val="both"/>
              <w:rPr>
                <w:sz w:val="22"/>
              </w:rPr>
            </w:pPr>
            <w:r w:rsidRPr="00403684">
              <w:rPr>
                <w:sz w:val="22"/>
              </w:rPr>
              <w:t xml:space="preserve">Total operating revenue               </w:t>
            </w:r>
            <w:r w:rsidR="00577CDC">
              <w:rPr>
                <w:sz w:val="22"/>
              </w:rPr>
              <w:t>15</w:t>
            </w:r>
            <w:r w:rsidR="00A37DD1" w:rsidRPr="00403684">
              <w:rPr>
                <w:sz w:val="22"/>
              </w:rPr>
              <w:t>,</w:t>
            </w:r>
            <w:r w:rsidR="00577CDC">
              <w:rPr>
                <w:sz w:val="22"/>
              </w:rPr>
              <w:t>076</w:t>
            </w:r>
            <w:r w:rsidR="00A37DD1" w:rsidRPr="00403684">
              <w:rPr>
                <w:sz w:val="22"/>
              </w:rPr>
              <w:t xml:space="preserve">              </w:t>
            </w:r>
            <w:r w:rsidR="00577CDC">
              <w:rPr>
                <w:sz w:val="22"/>
              </w:rPr>
              <w:t>22</w:t>
            </w:r>
            <w:r w:rsidR="00A37DD1" w:rsidRPr="00403684">
              <w:rPr>
                <w:sz w:val="22"/>
              </w:rPr>
              <w:t>,</w:t>
            </w:r>
            <w:r w:rsidR="00577CDC">
              <w:rPr>
                <w:sz w:val="22"/>
              </w:rPr>
              <w:t>425</w:t>
            </w:r>
            <w:r w:rsidR="00A37DD1" w:rsidRPr="00403684">
              <w:rPr>
                <w:sz w:val="22"/>
              </w:rPr>
              <w:t xml:space="preserve">      </w:t>
            </w:r>
            <w:r w:rsidR="0028199D">
              <w:rPr>
                <w:sz w:val="22"/>
              </w:rPr>
              <w:t xml:space="preserve">          </w:t>
            </w:r>
            <w:r w:rsidR="00577CDC">
              <w:rPr>
                <w:sz w:val="22"/>
              </w:rPr>
              <w:t>15</w:t>
            </w:r>
            <w:r w:rsidR="0028199D">
              <w:rPr>
                <w:sz w:val="22"/>
              </w:rPr>
              <w:t>,</w:t>
            </w:r>
            <w:r w:rsidR="00577CDC">
              <w:rPr>
                <w:sz w:val="22"/>
              </w:rPr>
              <w:t>076</w:t>
            </w:r>
            <w:r w:rsidR="00A37DD1" w:rsidRPr="00403684">
              <w:rPr>
                <w:sz w:val="22"/>
              </w:rPr>
              <w:t xml:space="preserve">             </w:t>
            </w:r>
            <w:r w:rsidR="00A37DD1">
              <w:rPr>
                <w:sz w:val="22"/>
              </w:rPr>
              <w:t xml:space="preserve"> </w:t>
            </w:r>
            <w:r w:rsidR="00577CDC">
              <w:rPr>
                <w:sz w:val="22"/>
              </w:rPr>
              <w:t>22</w:t>
            </w:r>
            <w:r w:rsidR="00A37DD1" w:rsidRPr="00403684">
              <w:rPr>
                <w:sz w:val="22"/>
              </w:rPr>
              <w:t>,</w:t>
            </w:r>
            <w:r w:rsidR="00577CDC">
              <w:rPr>
                <w:sz w:val="22"/>
              </w:rPr>
              <w:t>425</w:t>
            </w:r>
          </w:p>
          <w:p w:rsidR="00440616" w:rsidRDefault="00BC1844" w:rsidP="002D40E6">
            <w:pPr>
              <w:jc w:val="both"/>
              <w:rPr>
                <w:sz w:val="22"/>
              </w:rPr>
            </w:pPr>
            <w:r w:rsidRPr="00403684">
              <w:rPr>
                <w:sz w:val="22"/>
              </w:rPr>
              <w:t xml:space="preserve">                                          ____________________________   ___________________________</w:t>
            </w:r>
          </w:p>
          <w:p w:rsidR="00475337" w:rsidRPr="00403684" w:rsidRDefault="00475337" w:rsidP="002D40E6">
            <w:pPr>
              <w:jc w:val="both"/>
              <w:rPr>
                <w:sz w:val="22"/>
              </w:rPr>
            </w:pPr>
          </w:p>
        </w:tc>
      </w:tr>
      <w:tr w:rsidR="00BC1844" w:rsidTr="00287308">
        <w:trPr>
          <w:cantSplit/>
        </w:trPr>
        <w:tc>
          <w:tcPr>
            <w:tcW w:w="525" w:type="dxa"/>
            <w:gridSpan w:val="2"/>
          </w:tcPr>
          <w:p w:rsidR="00BC1844" w:rsidRPr="00403684" w:rsidRDefault="00BC1844" w:rsidP="00E14C1E">
            <w:pPr>
              <w:rPr>
                <w:sz w:val="22"/>
              </w:rPr>
            </w:pPr>
            <w:r w:rsidRPr="00403684">
              <w:rPr>
                <w:sz w:val="22"/>
              </w:rPr>
              <w:lastRenderedPageBreak/>
              <w:t xml:space="preserve">  1</w:t>
            </w:r>
            <w:r w:rsidR="00545CCD">
              <w:rPr>
                <w:sz w:val="22"/>
              </w:rPr>
              <w:t>1</w:t>
            </w:r>
            <w:r w:rsidRPr="00403684">
              <w:rPr>
                <w:sz w:val="22"/>
              </w:rPr>
              <w:t>.</w:t>
            </w:r>
          </w:p>
        </w:tc>
        <w:tc>
          <w:tcPr>
            <w:tcW w:w="8849" w:type="dxa"/>
            <w:gridSpan w:val="8"/>
          </w:tcPr>
          <w:p w:rsidR="00BC1844" w:rsidRPr="00403684" w:rsidRDefault="00BC1844" w:rsidP="00282096">
            <w:pPr>
              <w:jc w:val="both"/>
              <w:rPr>
                <w:sz w:val="22"/>
              </w:rPr>
            </w:pPr>
            <w:r w:rsidRPr="00403684">
              <w:rPr>
                <w:sz w:val="22"/>
              </w:rPr>
              <w:t>Other Income</w:t>
            </w:r>
          </w:p>
          <w:p w:rsidR="00BC1844" w:rsidRPr="00403684" w:rsidRDefault="00BC1844" w:rsidP="00282096">
            <w:pPr>
              <w:jc w:val="both"/>
              <w:rPr>
                <w:b/>
                <w:sz w:val="22"/>
              </w:rPr>
            </w:pPr>
            <w:r w:rsidRPr="00403684">
              <w:rPr>
                <w:sz w:val="22"/>
              </w:rPr>
              <w:t xml:space="preserve">                                                     </w:t>
            </w:r>
            <w:r w:rsidR="00ED5468">
              <w:rPr>
                <w:sz w:val="22"/>
              </w:rPr>
              <w:t xml:space="preserve">  </w:t>
            </w:r>
            <w:r w:rsidR="00ED5468">
              <w:rPr>
                <w:b/>
                <w:sz w:val="22"/>
              </w:rPr>
              <w:t>Current</w:t>
            </w:r>
            <w:r w:rsidRPr="00403684">
              <w:rPr>
                <w:b/>
                <w:sz w:val="22"/>
              </w:rPr>
              <w:t xml:space="preserve"> Quarter                Cumulative Quarter</w:t>
            </w:r>
          </w:p>
          <w:p w:rsidR="00BC1844" w:rsidRPr="00403684" w:rsidRDefault="00BC1844" w:rsidP="00282096">
            <w:pPr>
              <w:jc w:val="both"/>
              <w:rPr>
                <w:sz w:val="22"/>
              </w:rPr>
            </w:pPr>
            <w:r w:rsidRPr="00403684">
              <w:rPr>
                <w:b/>
                <w:sz w:val="22"/>
              </w:rPr>
              <w:t xml:space="preserve">                                                       3 months ended                     </w:t>
            </w:r>
            <w:r w:rsidR="00FD46BE">
              <w:rPr>
                <w:b/>
                <w:sz w:val="22"/>
              </w:rPr>
              <w:t xml:space="preserve"> 3</w:t>
            </w:r>
            <w:r w:rsidRPr="00403684">
              <w:rPr>
                <w:b/>
                <w:sz w:val="22"/>
              </w:rPr>
              <w:t xml:space="preserve"> months ended</w:t>
            </w:r>
            <w:r w:rsidRPr="00403684">
              <w:rPr>
                <w:sz w:val="22"/>
              </w:rPr>
              <w:t xml:space="preserve"> </w:t>
            </w:r>
          </w:p>
          <w:p w:rsidR="00BC1844" w:rsidRPr="00403684" w:rsidRDefault="00BC1844" w:rsidP="00282096">
            <w:pPr>
              <w:jc w:val="both"/>
              <w:rPr>
                <w:b/>
                <w:sz w:val="22"/>
              </w:rPr>
            </w:pPr>
            <w:r w:rsidRPr="00403684">
              <w:rPr>
                <w:sz w:val="22"/>
              </w:rPr>
              <w:t xml:space="preserve">                                              </w:t>
            </w:r>
            <w:r w:rsidRPr="00403684">
              <w:rPr>
                <w:b/>
                <w:sz w:val="22"/>
              </w:rPr>
              <w:t>3</w:t>
            </w:r>
            <w:r w:rsidR="00C659F1">
              <w:rPr>
                <w:b/>
                <w:sz w:val="22"/>
              </w:rPr>
              <w:t xml:space="preserve">1 </w:t>
            </w:r>
            <w:r w:rsidR="00FD46BE">
              <w:rPr>
                <w:b/>
                <w:sz w:val="22"/>
              </w:rPr>
              <w:t>Mar</w:t>
            </w:r>
            <w:r w:rsidRPr="00403684">
              <w:rPr>
                <w:b/>
                <w:sz w:val="22"/>
              </w:rPr>
              <w:t xml:space="preserve"> 201</w:t>
            </w:r>
            <w:r w:rsidR="00EE7278">
              <w:rPr>
                <w:b/>
                <w:sz w:val="22"/>
              </w:rPr>
              <w:t>4</w:t>
            </w:r>
            <w:r w:rsidRPr="00403684">
              <w:rPr>
                <w:b/>
                <w:sz w:val="22"/>
              </w:rPr>
              <w:t xml:space="preserve">    3</w:t>
            </w:r>
            <w:r w:rsidR="00C659F1">
              <w:rPr>
                <w:b/>
                <w:sz w:val="22"/>
              </w:rPr>
              <w:t>1</w:t>
            </w:r>
            <w:r w:rsidRPr="00403684">
              <w:rPr>
                <w:b/>
                <w:sz w:val="22"/>
              </w:rPr>
              <w:t xml:space="preserve"> </w:t>
            </w:r>
            <w:r w:rsidR="00EE7278">
              <w:rPr>
                <w:b/>
                <w:sz w:val="22"/>
              </w:rPr>
              <w:t>Mar 2013</w:t>
            </w:r>
            <w:r w:rsidRPr="00403684">
              <w:rPr>
                <w:b/>
                <w:sz w:val="22"/>
              </w:rPr>
              <w:t xml:space="preserve">       </w:t>
            </w:r>
            <w:r w:rsidR="00C659F1" w:rsidRPr="00403684">
              <w:rPr>
                <w:b/>
                <w:sz w:val="22"/>
              </w:rPr>
              <w:t>3</w:t>
            </w:r>
            <w:r w:rsidR="00C659F1">
              <w:rPr>
                <w:b/>
                <w:sz w:val="22"/>
              </w:rPr>
              <w:t xml:space="preserve">1 </w:t>
            </w:r>
            <w:r w:rsidR="00EE7278">
              <w:rPr>
                <w:b/>
                <w:sz w:val="22"/>
              </w:rPr>
              <w:t>Mar 2014</w:t>
            </w:r>
            <w:r w:rsidR="00C659F1" w:rsidRPr="00403684">
              <w:rPr>
                <w:b/>
                <w:sz w:val="22"/>
              </w:rPr>
              <w:t xml:space="preserve">    3</w:t>
            </w:r>
            <w:r w:rsidR="00C659F1">
              <w:rPr>
                <w:b/>
                <w:sz w:val="22"/>
              </w:rPr>
              <w:t>1</w:t>
            </w:r>
            <w:r w:rsidR="00C659F1" w:rsidRPr="00403684">
              <w:rPr>
                <w:b/>
                <w:sz w:val="22"/>
              </w:rPr>
              <w:t xml:space="preserve"> </w:t>
            </w:r>
            <w:r w:rsidR="00EE7278">
              <w:rPr>
                <w:b/>
                <w:sz w:val="22"/>
              </w:rPr>
              <w:t>Mar 2013</w:t>
            </w:r>
            <w:r w:rsidRPr="00403684">
              <w:rPr>
                <w:b/>
                <w:sz w:val="22"/>
              </w:rPr>
              <w:t xml:space="preserve"> </w:t>
            </w:r>
          </w:p>
          <w:p w:rsidR="00BC1844" w:rsidRPr="00403684" w:rsidRDefault="00BC1844" w:rsidP="00282096">
            <w:pPr>
              <w:jc w:val="both"/>
              <w:rPr>
                <w:sz w:val="22"/>
              </w:rPr>
            </w:pPr>
            <w:r w:rsidRPr="00403684">
              <w:rPr>
                <w:b/>
                <w:sz w:val="22"/>
              </w:rPr>
              <w:t xml:space="preserve">                                                  </w:t>
            </w:r>
            <w:r w:rsidRPr="00403684">
              <w:rPr>
                <w:sz w:val="22"/>
              </w:rPr>
              <w:t xml:space="preserve">RM’000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p>
          <w:p w:rsidR="00BC1844" w:rsidRPr="00403684" w:rsidRDefault="00BC1844" w:rsidP="00282096">
            <w:pPr>
              <w:jc w:val="both"/>
              <w:rPr>
                <w:sz w:val="22"/>
              </w:rPr>
            </w:pPr>
            <w:r w:rsidRPr="00403684">
              <w:rPr>
                <w:sz w:val="22"/>
              </w:rPr>
              <w:t xml:space="preserve">Sundry income                           </w:t>
            </w:r>
            <w:r w:rsidR="002433AB" w:rsidRPr="00403684">
              <w:rPr>
                <w:sz w:val="22"/>
              </w:rPr>
              <w:t xml:space="preserve">   </w:t>
            </w:r>
            <w:r w:rsidRPr="00403684">
              <w:rPr>
                <w:sz w:val="22"/>
              </w:rPr>
              <w:t xml:space="preserve">      </w:t>
            </w:r>
            <w:r w:rsidR="00EE7278">
              <w:rPr>
                <w:sz w:val="22"/>
              </w:rPr>
              <w:t>19</w:t>
            </w:r>
            <w:r w:rsidR="00590813">
              <w:rPr>
                <w:sz w:val="22"/>
              </w:rPr>
              <w:t xml:space="preserve">  </w:t>
            </w:r>
            <w:r w:rsidRPr="00403684">
              <w:rPr>
                <w:sz w:val="22"/>
              </w:rPr>
              <w:t xml:space="preserve">             </w:t>
            </w:r>
            <w:r w:rsidR="005F6CA8">
              <w:rPr>
                <w:sz w:val="22"/>
              </w:rPr>
              <w:t xml:space="preserve">      </w:t>
            </w:r>
            <w:r w:rsidR="00EC17AA">
              <w:rPr>
                <w:sz w:val="22"/>
              </w:rPr>
              <w:t>5</w:t>
            </w:r>
            <w:r w:rsidRPr="00403684">
              <w:rPr>
                <w:sz w:val="22"/>
              </w:rPr>
              <w:t xml:space="preserve">                    </w:t>
            </w:r>
            <w:r w:rsidR="001E2F7B">
              <w:rPr>
                <w:sz w:val="22"/>
              </w:rPr>
              <w:t xml:space="preserve">  </w:t>
            </w:r>
            <w:r w:rsidR="00095B8F">
              <w:rPr>
                <w:sz w:val="22"/>
              </w:rPr>
              <w:t xml:space="preserve">  </w:t>
            </w:r>
            <w:r w:rsidR="00EE7278">
              <w:rPr>
                <w:sz w:val="22"/>
              </w:rPr>
              <w:t>19</w:t>
            </w:r>
            <w:r w:rsidR="00891D55">
              <w:rPr>
                <w:sz w:val="22"/>
              </w:rPr>
              <w:t xml:space="preserve"> </w:t>
            </w:r>
            <w:r w:rsidR="00095B8F">
              <w:rPr>
                <w:sz w:val="22"/>
              </w:rPr>
              <w:t xml:space="preserve"> </w:t>
            </w:r>
            <w:r w:rsidRPr="00403684">
              <w:rPr>
                <w:sz w:val="22"/>
              </w:rPr>
              <w:t xml:space="preserve">                  </w:t>
            </w:r>
            <w:r w:rsidR="002A62D3">
              <w:rPr>
                <w:sz w:val="22"/>
              </w:rPr>
              <w:t xml:space="preserve"> </w:t>
            </w:r>
            <w:r w:rsidR="000E386C">
              <w:rPr>
                <w:sz w:val="22"/>
              </w:rPr>
              <w:t xml:space="preserve">   5</w:t>
            </w:r>
            <w:r w:rsidRPr="00403684">
              <w:rPr>
                <w:sz w:val="22"/>
              </w:rPr>
              <w:t xml:space="preserve">                                </w:t>
            </w:r>
          </w:p>
          <w:p w:rsidR="00BC1844" w:rsidRPr="00403684" w:rsidRDefault="00BC1844" w:rsidP="00282096">
            <w:pPr>
              <w:jc w:val="both"/>
              <w:rPr>
                <w:sz w:val="22"/>
              </w:rPr>
            </w:pPr>
            <w:r w:rsidRPr="00403684">
              <w:rPr>
                <w:sz w:val="22"/>
              </w:rPr>
              <w:t xml:space="preserve">Sales of </w:t>
            </w:r>
            <w:r w:rsidR="00BC7081" w:rsidRPr="00403684">
              <w:rPr>
                <w:sz w:val="22"/>
              </w:rPr>
              <w:t>scrap materials</w:t>
            </w:r>
            <w:r w:rsidRPr="00403684">
              <w:rPr>
                <w:sz w:val="22"/>
              </w:rPr>
              <w:t xml:space="preserve">                  </w:t>
            </w:r>
            <w:r w:rsidR="002433AB" w:rsidRPr="00403684">
              <w:rPr>
                <w:sz w:val="22"/>
              </w:rPr>
              <w:t xml:space="preserve"> </w:t>
            </w:r>
            <w:r w:rsidR="00EE7278">
              <w:rPr>
                <w:sz w:val="22"/>
              </w:rPr>
              <w:t xml:space="preserve">   329</w:t>
            </w:r>
            <w:r w:rsidR="00403684">
              <w:rPr>
                <w:sz w:val="22"/>
              </w:rPr>
              <w:t xml:space="preserve"> </w:t>
            </w:r>
            <w:r w:rsidR="00EE7278">
              <w:rPr>
                <w:sz w:val="22"/>
              </w:rPr>
              <w:t xml:space="preserve">              1,025</w:t>
            </w:r>
            <w:r w:rsidR="00D432C5">
              <w:rPr>
                <w:sz w:val="22"/>
              </w:rPr>
              <w:t xml:space="preserve">  </w:t>
            </w:r>
            <w:r w:rsidRPr="00403684">
              <w:rPr>
                <w:sz w:val="22"/>
              </w:rPr>
              <w:t xml:space="preserve">             </w:t>
            </w:r>
            <w:r w:rsidR="001E2F7B">
              <w:rPr>
                <w:sz w:val="22"/>
              </w:rPr>
              <w:t xml:space="preserve">   </w:t>
            </w:r>
            <w:r w:rsidRPr="00403684">
              <w:rPr>
                <w:sz w:val="22"/>
              </w:rPr>
              <w:t xml:space="preserve"> </w:t>
            </w:r>
            <w:r w:rsidR="00EE7278">
              <w:rPr>
                <w:sz w:val="22"/>
              </w:rPr>
              <w:t xml:space="preserve">  </w:t>
            </w:r>
            <w:r w:rsidR="002A5D98">
              <w:rPr>
                <w:sz w:val="22"/>
              </w:rPr>
              <w:t xml:space="preserve"> </w:t>
            </w:r>
            <w:r w:rsidR="00EE7278">
              <w:rPr>
                <w:sz w:val="22"/>
              </w:rPr>
              <w:t>329                  1,025</w:t>
            </w:r>
          </w:p>
          <w:p w:rsidR="00BC1844" w:rsidRPr="00403684" w:rsidRDefault="00BC1844" w:rsidP="00282096">
            <w:pPr>
              <w:jc w:val="both"/>
              <w:rPr>
                <w:sz w:val="22"/>
              </w:rPr>
            </w:pPr>
            <w:r w:rsidRPr="00403684">
              <w:rPr>
                <w:sz w:val="22"/>
              </w:rPr>
              <w:t xml:space="preserve">Rental income                                   </w:t>
            </w:r>
            <w:r w:rsidR="00D629CF" w:rsidRPr="00403684">
              <w:rPr>
                <w:sz w:val="22"/>
              </w:rPr>
              <w:t xml:space="preserve">  </w:t>
            </w:r>
            <w:r w:rsidR="002433AB" w:rsidRPr="00403684">
              <w:rPr>
                <w:sz w:val="22"/>
              </w:rPr>
              <w:t>4</w:t>
            </w:r>
            <w:r w:rsidR="00CA30FC" w:rsidRPr="00403684">
              <w:rPr>
                <w:sz w:val="22"/>
              </w:rPr>
              <w:t>2</w:t>
            </w:r>
            <w:r w:rsidRPr="00403684">
              <w:rPr>
                <w:sz w:val="22"/>
              </w:rPr>
              <w:t xml:space="preserve">               </w:t>
            </w:r>
            <w:r w:rsidR="00D629CF" w:rsidRPr="00403684">
              <w:rPr>
                <w:sz w:val="22"/>
              </w:rPr>
              <w:t xml:space="preserve"> </w:t>
            </w:r>
            <w:r w:rsidRPr="00403684">
              <w:rPr>
                <w:sz w:val="22"/>
              </w:rPr>
              <w:t xml:space="preserve">  </w:t>
            </w:r>
            <w:r w:rsidR="00D432C5">
              <w:rPr>
                <w:sz w:val="22"/>
              </w:rPr>
              <w:t xml:space="preserve"> </w:t>
            </w:r>
            <w:r w:rsidR="005307D5">
              <w:rPr>
                <w:sz w:val="22"/>
              </w:rPr>
              <w:t>42</w:t>
            </w:r>
            <w:r w:rsidRPr="00403684">
              <w:rPr>
                <w:sz w:val="22"/>
              </w:rPr>
              <w:t xml:space="preserve">                 </w:t>
            </w:r>
            <w:r w:rsidR="001E2F7B">
              <w:rPr>
                <w:sz w:val="22"/>
              </w:rPr>
              <w:t xml:space="preserve">   </w:t>
            </w:r>
            <w:r w:rsidRPr="00403684">
              <w:rPr>
                <w:sz w:val="22"/>
              </w:rPr>
              <w:t xml:space="preserve"> </w:t>
            </w:r>
            <w:r w:rsidR="00891D55">
              <w:rPr>
                <w:sz w:val="22"/>
              </w:rPr>
              <w:t xml:space="preserve">   42</w:t>
            </w:r>
            <w:r w:rsidRPr="00403684">
              <w:rPr>
                <w:sz w:val="22"/>
              </w:rPr>
              <w:t xml:space="preserve"> </w:t>
            </w:r>
            <w:r w:rsidR="00891D55">
              <w:rPr>
                <w:sz w:val="22"/>
              </w:rPr>
              <w:t xml:space="preserve">  </w:t>
            </w:r>
            <w:r w:rsidRPr="00403684">
              <w:rPr>
                <w:sz w:val="22"/>
              </w:rPr>
              <w:t xml:space="preserve">               </w:t>
            </w:r>
            <w:r w:rsidR="00290AFE">
              <w:rPr>
                <w:sz w:val="22"/>
              </w:rPr>
              <w:t xml:space="preserve"> </w:t>
            </w:r>
            <w:r w:rsidRPr="00403684">
              <w:rPr>
                <w:sz w:val="22"/>
              </w:rPr>
              <w:t xml:space="preserve"> </w:t>
            </w:r>
            <w:r w:rsidR="000E386C">
              <w:rPr>
                <w:sz w:val="22"/>
              </w:rPr>
              <w:t xml:space="preserve">  42</w:t>
            </w:r>
          </w:p>
          <w:p w:rsidR="00BC1844" w:rsidRPr="00403684" w:rsidRDefault="00BC1844" w:rsidP="00282096">
            <w:pPr>
              <w:jc w:val="both"/>
              <w:rPr>
                <w:sz w:val="22"/>
              </w:rPr>
            </w:pPr>
            <w:r w:rsidRPr="00403684">
              <w:rPr>
                <w:sz w:val="22"/>
              </w:rPr>
              <w:t xml:space="preserve">Bank interest earned                          </w:t>
            </w:r>
            <w:r w:rsidR="00EE7278">
              <w:rPr>
                <w:sz w:val="22"/>
              </w:rPr>
              <w:t>120</w:t>
            </w:r>
            <w:r w:rsidRPr="00403684">
              <w:rPr>
                <w:sz w:val="22"/>
              </w:rPr>
              <w:t xml:space="preserve">               </w:t>
            </w:r>
            <w:r w:rsidR="00D629CF" w:rsidRPr="00403684">
              <w:rPr>
                <w:sz w:val="22"/>
              </w:rPr>
              <w:t xml:space="preserve"> </w:t>
            </w:r>
            <w:r w:rsidRPr="00403684">
              <w:rPr>
                <w:sz w:val="22"/>
              </w:rPr>
              <w:t xml:space="preserve"> </w:t>
            </w:r>
            <w:r w:rsidR="00EE7278">
              <w:rPr>
                <w:sz w:val="22"/>
              </w:rPr>
              <w:t>198</w:t>
            </w:r>
            <w:r w:rsidR="00D629CF" w:rsidRPr="00403684">
              <w:rPr>
                <w:sz w:val="22"/>
              </w:rPr>
              <w:t xml:space="preserve">            </w:t>
            </w:r>
            <w:r w:rsidR="00496C25">
              <w:rPr>
                <w:sz w:val="22"/>
              </w:rPr>
              <w:t xml:space="preserve"> </w:t>
            </w:r>
            <w:r w:rsidR="00D629CF" w:rsidRPr="00403684">
              <w:rPr>
                <w:sz w:val="22"/>
              </w:rPr>
              <w:t xml:space="preserve">  </w:t>
            </w:r>
            <w:r w:rsidR="001E2F7B">
              <w:rPr>
                <w:sz w:val="22"/>
              </w:rPr>
              <w:t xml:space="preserve">   </w:t>
            </w:r>
            <w:r w:rsidR="00D629CF" w:rsidRPr="00403684">
              <w:rPr>
                <w:sz w:val="22"/>
              </w:rPr>
              <w:t xml:space="preserve">   </w:t>
            </w:r>
            <w:r w:rsidR="00403684">
              <w:rPr>
                <w:sz w:val="22"/>
              </w:rPr>
              <w:t xml:space="preserve"> </w:t>
            </w:r>
            <w:r w:rsidR="00EE7278">
              <w:rPr>
                <w:sz w:val="22"/>
              </w:rPr>
              <w:t xml:space="preserve"> 120</w:t>
            </w:r>
            <w:r w:rsidR="002A4881">
              <w:rPr>
                <w:sz w:val="22"/>
              </w:rPr>
              <w:t xml:space="preserve">                 </w:t>
            </w:r>
            <w:r w:rsidR="00EE7278">
              <w:rPr>
                <w:sz w:val="22"/>
              </w:rPr>
              <w:t xml:space="preserve">   198</w:t>
            </w:r>
          </w:p>
          <w:p w:rsidR="00BC1844" w:rsidRPr="00403684" w:rsidRDefault="00BC1844" w:rsidP="00282096">
            <w:pPr>
              <w:jc w:val="both"/>
              <w:rPr>
                <w:sz w:val="22"/>
              </w:rPr>
            </w:pPr>
            <w:r w:rsidRPr="00403684">
              <w:rPr>
                <w:sz w:val="22"/>
              </w:rPr>
              <w:t>Gain</w:t>
            </w:r>
            <w:r w:rsidR="00403684">
              <w:rPr>
                <w:sz w:val="22"/>
              </w:rPr>
              <w:t>/(Loss)</w:t>
            </w:r>
            <w:r w:rsidRPr="00403684">
              <w:rPr>
                <w:sz w:val="22"/>
              </w:rPr>
              <w:t xml:space="preserve"> on foreign exchange      </w:t>
            </w:r>
            <w:r w:rsidR="00290AFE">
              <w:rPr>
                <w:sz w:val="22"/>
              </w:rPr>
              <w:t xml:space="preserve"> </w:t>
            </w:r>
            <w:r w:rsidR="00EE7278">
              <w:rPr>
                <w:sz w:val="22"/>
              </w:rPr>
              <w:t xml:space="preserve">  </w:t>
            </w:r>
            <w:r w:rsidR="002A5D98">
              <w:rPr>
                <w:sz w:val="22"/>
              </w:rPr>
              <w:t>43</w:t>
            </w:r>
            <w:r w:rsidR="00590813">
              <w:rPr>
                <w:sz w:val="22"/>
              </w:rPr>
              <w:t xml:space="preserve"> </w:t>
            </w:r>
            <w:r w:rsidR="004E13F7">
              <w:rPr>
                <w:sz w:val="22"/>
              </w:rPr>
              <w:t xml:space="preserve">             </w:t>
            </w:r>
            <w:r w:rsidRPr="00403684">
              <w:rPr>
                <w:sz w:val="22"/>
              </w:rPr>
              <w:t xml:space="preserve"> </w:t>
            </w:r>
            <w:r w:rsidR="00095B8F">
              <w:rPr>
                <w:sz w:val="22"/>
              </w:rPr>
              <w:t xml:space="preserve"> </w:t>
            </w:r>
            <w:r w:rsidR="005307D5">
              <w:rPr>
                <w:sz w:val="22"/>
              </w:rPr>
              <w:t xml:space="preserve"> </w:t>
            </w:r>
            <w:r w:rsidR="00EE7278">
              <w:rPr>
                <w:sz w:val="22"/>
              </w:rPr>
              <w:t xml:space="preserve">  89</w:t>
            </w:r>
            <w:r w:rsidRPr="00403684">
              <w:rPr>
                <w:sz w:val="22"/>
              </w:rPr>
              <w:t xml:space="preserve">              </w:t>
            </w:r>
            <w:r w:rsidR="001E2F7B">
              <w:rPr>
                <w:sz w:val="22"/>
              </w:rPr>
              <w:t xml:space="preserve">  </w:t>
            </w:r>
            <w:r w:rsidRPr="00403684">
              <w:rPr>
                <w:sz w:val="22"/>
              </w:rPr>
              <w:t xml:space="preserve"> </w:t>
            </w:r>
            <w:r w:rsidR="00D629CF" w:rsidRPr="00403684">
              <w:rPr>
                <w:sz w:val="22"/>
              </w:rPr>
              <w:t xml:space="preserve"> </w:t>
            </w:r>
            <w:r w:rsidR="002A62D3">
              <w:rPr>
                <w:sz w:val="22"/>
              </w:rPr>
              <w:t xml:space="preserve"> </w:t>
            </w:r>
            <w:r w:rsidR="00EE7278">
              <w:rPr>
                <w:sz w:val="22"/>
              </w:rPr>
              <w:t xml:space="preserve">   </w:t>
            </w:r>
            <w:r w:rsidR="002A5D98">
              <w:rPr>
                <w:sz w:val="22"/>
              </w:rPr>
              <w:t xml:space="preserve">   43</w:t>
            </w:r>
            <w:r w:rsidR="00891D55">
              <w:rPr>
                <w:sz w:val="22"/>
              </w:rPr>
              <w:t xml:space="preserve"> </w:t>
            </w:r>
            <w:r w:rsidRPr="00403684">
              <w:rPr>
                <w:sz w:val="22"/>
              </w:rPr>
              <w:t xml:space="preserve">              </w:t>
            </w:r>
            <w:r w:rsidR="00403684">
              <w:rPr>
                <w:sz w:val="22"/>
              </w:rPr>
              <w:t xml:space="preserve"> </w:t>
            </w:r>
            <w:r w:rsidR="00496C25">
              <w:rPr>
                <w:sz w:val="22"/>
              </w:rPr>
              <w:t xml:space="preserve">  </w:t>
            </w:r>
            <w:r w:rsidR="00EE7278">
              <w:rPr>
                <w:sz w:val="22"/>
              </w:rPr>
              <w:t xml:space="preserve">    89</w:t>
            </w:r>
          </w:p>
          <w:p w:rsidR="00BC1844" w:rsidRPr="00403684" w:rsidRDefault="00BC1844" w:rsidP="00282096">
            <w:pPr>
              <w:jc w:val="both"/>
              <w:rPr>
                <w:sz w:val="22"/>
              </w:rPr>
            </w:pPr>
            <w:r w:rsidRPr="00403684">
              <w:rPr>
                <w:sz w:val="22"/>
              </w:rPr>
              <w:t>Gain on disposal of fixed</w:t>
            </w:r>
            <w:r w:rsidR="00D629CF" w:rsidRPr="00403684">
              <w:rPr>
                <w:sz w:val="22"/>
              </w:rPr>
              <w:t xml:space="preserve"> </w:t>
            </w:r>
          </w:p>
          <w:p w:rsidR="00BC1844" w:rsidRDefault="00D3736B" w:rsidP="00282096">
            <w:pPr>
              <w:jc w:val="both"/>
              <w:rPr>
                <w:sz w:val="22"/>
              </w:rPr>
            </w:pPr>
            <w:r>
              <w:rPr>
                <w:sz w:val="22"/>
              </w:rPr>
              <w:t>a</w:t>
            </w:r>
            <w:r w:rsidR="00BC1844" w:rsidRPr="00403684">
              <w:rPr>
                <w:sz w:val="22"/>
              </w:rPr>
              <w:t xml:space="preserve">ssets                                                 </w:t>
            </w:r>
            <w:r w:rsidR="00D55A03">
              <w:rPr>
                <w:sz w:val="22"/>
              </w:rPr>
              <w:t xml:space="preserve"> </w:t>
            </w:r>
            <w:r w:rsidR="00EE7278">
              <w:rPr>
                <w:sz w:val="22"/>
              </w:rPr>
              <w:t>-</w:t>
            </w:r>
            <w:r w:rsidR="002A62D3">
              <w:rPr>
                <w:sz w:val="22"/>
              </w:rPr>
              <w:t xml:space="preserve">     </w:t>
            </w:r>
            <w:r w:rsidR="00BC1844" w:rsidRPr="00403684">
              <w:rPr>
                <w:sz w:val="22"/>
              </w:rPr>
              <w:t xml:space="preserve">      </w:t>
            </w:r>
            <w:r w:rsidR="00EE7278">
              <w:rPr>
                <w:sz w:val="22"/>
              </w:rPr>
              <w:t xml:space="preserve">  </w:t>
            </w:r>
            <w:r w:rsidR="00BC1844" w:rsidRPr="00403684">
              <w:rPr>
                <w:sz w:val="22"/>
              </w:rPr>
              <w:t xml:space="preserve">        </w:t>
            </w:r>
            <w:r w:rsidR="00EE7278">
              <w:rPr>
                <w:sz w:val="22"/>
              </w:rPr>
              <w:t xml:space="preserve">  1</w:t>
            </w:r>
            <w:r w:rsidR="000E386C">
              <w:rPr>
                <w:sz w:val="22"/>
              </w:rPr>
              <w:t xml:space="preserve"> </w:t>
            </w:r>
            <w:r w:rsidR="005306B6">
              <w:rPr>
                <w:sz w:val="22"/>
              </w:rPr>
              <w:t xml:space="preserve"> </w:t>
            </w:r>
            <w:r w:rsidR="00BC1844" w:rsidRPr="00403684">
              <w:rPr>
                <w:sz w:val="22"/>
              </w:rPr>
              <w:t xml:space="preserve">                </w:t>
            </w:r>
            <w:r w:rsidR="00D629CF" w:rsidRPr="00403684">
              <w:rPr>
                <w:sz w:val="22"/>
              </w:rPr>
              <w:t xml:space="preserve"> </w:t>
            </w:r>
            <w:r w:rsidR="00BC1844" w:rsidRPr="00403684">
              <w:rPr>
                <w:sz w:val="22"/>
              </w:rPr>
              <w:t xml:space="preserve"> </w:t>
            </w:r>
            <w:r w:rsidR="00D629CF" w:rsidRPr="00403684">
              <w:rPr>
                <w:sz w:val="22"/>
              </w:rPr>
              <w:t xml:space="preserve"> </w:t>
            </w:r>
            <w:r w:rsidR="00403684">
              <w:rPr>
                <w:sz w:val="22"/>
              </w:rPr>
              <w:t xml:space="preserve"> </w:t>
            </w:r>
            <w:r w:rsidR="00D55A03">
              <w:rPr>
                <w:sz w:val="22"/>
              </w:rPr>
              <w:t xml:space="preserve"> </w:t>
            </w:r>
            <w:r w:rsidR="001E2F7B">
              <w:rPr>
                <w:sz w:val="22"/>
              </w:rPr>
              <w:t xml:space="preserve"> </w:t>
            </w:r>
            <w:r w:rsidR="002A5D98">
              <w:rPr>
                <w:sz w:val="22"/>
              </w:rPr>
              <w:t xml:space="preserve">   -</w:t>
            </w:r>
            <w:r w:rsidR="00891D55">
              <w:rPr>
                <w:sz w:val="22"/>
              </w:rPr>
              <w:t xml:space="preserve">  </w:t>
            </w:r>
            <w:r w:rsidR="00095B8F">
              <w:rPr>
                <w:sz w:val="22"/>
              </w:rPr>
              <w:t xml:space="preserve">    </w:t>
            </w:r>
            <w:r w:rsidR="00BC1844" w:rsidRPr="00403684">
              <w:rPr>
                <w:sz w:val="22"/>
              </w:rPr>
              <w:t xml:space="preserve"> </w:t>
            </w:r>
            <w:r w:rsidR="00095B8F">
              <w:rPr>
                <w:sz w:val="22"/>
              </w:rPr>
              <w:t xml:space="preserve">   </w:t>
            </w:r>
            <w:r w:rsidR="00BC1844" w:rsidRPr="00403684">
              <w:rPr>
                <w:sz w:val="22"/>
              </w:rPr>
              <w:t xml:space="preserve">        </w:t>
            </w:r>
            <w:r w:rsidR="003B2BFB">
              <w:rPr>
                <w:sz w:val="22"/>
              </w:rPr>
              <w:t xml:space="preserve"> </w:t>
            </w:r>
            <w:r w:rsidR="001E2F7B">
              <w:rPr>
                <w:sz w:val="22"/>
              </w:rPr>
              <w:t xml:space="preserve">  </w:t>
            </w:r>
            <w:r w:rsidR="00496C25">
              <w:rPr>
                <w:sz w:val="22"/>
              </w:rPr>
              <w:t xml:space="preserve"> </w:t>
            </w:r>
            <w:r w:rsidR="00EE7278">
              <w:rPr>
                <w:sz w:val="22"/>
              </w:rPr>
              <w:t xml:space="preserve"> 1</w:t>
            </w:r>
          </w:p>
          <w:p w:rsidR="00D3736B" w:rsidRPr="00403684" w:rsidRDefault="00D3736B" w:rsidP="00282096">
            <w:pPr>
              <w:jc w:val="both"/>
              <w:rPr>
                <w:sz w:val="22"/>
              </w:rPr>
            </w:pPr>
            <w:r>
              <w:rPr>
                <w:sz w:val="22"/>
              </w:rPr>
              <w:t xml:space="preserve">Fixed assets written off                      </w:t>
            </w:r>
            <w:r w:rsidR="002A62D3">
              <w:rPr>
                <w:sz w:val="22"/>
              </w:rPr>
              <w:t xml:space="preserve">  -     </w:t>
            </w:r>
            <w:r>
              <w:rPr>
                <w:sz w:val="22"/>
              </w:rPr>
              <w:t xml:space="preserve">                 -</w:t>
            </w:r>
            <w:r w:rsidR="002A62D3">
              <w:rPr>
                <w:sz w:val="22"/>
              </w:rPr>
              <w:t xml:space="preserve"> </w:t>
            </w:r>
            <w:r>
              <w:rPr>
                <w:sz w:val="22"/>
              </w:rPr>
              <w:t xml:space="preserve">                  </w:t>
            </w:r>
            <w:r w:rsidR="001E2F7B">
              <w:rPr>
                <w:sz w:val="22"/>
              </w:rPr>
              <w:t xml:space="preserve">  </w:t>
            </w:r>
            <w:r>
              <w:rPr>
                <w:sz w:val="22"/>
              </w:rPr>
              <w:t xml:space="preserve">  </w:t>
            </w:r>
            <w:r w:rsidR="00891D55">
              <w:rPr>
                <w:sz w:val="22"/>
              </w:rPr>
              <w:t xml:space="preserve">      -    </w:t>
            </w:r>
            <w:r>
              <w:rPr>
                <w:sz w:val="22"/>
              </w:rPr>
              <w:t xml:space="preserve">                  </w:t>
            </w:r>
            <w:r w:rsidR="00496C25">
              <w:rPr>
                <w:sz w:val="22"/>
              </w:rPr>
              <w:t xml:space="preserve">  </w:t>
            </w:r>
            <w:r w:rsidR="00D432C5">
              <w:rPr>
                <w:sz w:val="22"/>
              </w:rPr>
              <w:t>-</w:t>
            </w:r>
          </w:p>
          <w:p w:rsidR="00BC1844" w:rsidRPr="00403684" w:rsidRDefault="00BC1844" w:rsidP="00282096">
            <w:pPr>
              <w:jc w:val="both"/>
              <w:rPr>
                <w:sz w:val="22"/>
              </w:rPr>
            </w:pPr>
            <w:r w:rsidRPr="00403684">
              <w:rPr>
                <w:sz w:val="22"/>
              </w:rPr>
              <w:t xml:space="preserve">Doubtful debts recovery                     </w:t>
            </w:r>
            <w:r w:rsidR="00403684">
              <w:rPr>
                <w:sz w:val="22"/>
              </w:rPr>
              <w:t xml:space="preserve">  </w:t>
            </w:r>
            <w:r w:rsidR="00EE7278">
              <w:rPr>
                <w:sz w:val="22"/>
              </w:rPr>
              <w:t>10</w:t>
            </w:r>
            <w:r w:rsidRPr="00403684">
              <w:rPr>
                <w:sz w:val="22"/>
              </w:rPr>
              <w:t xml:space="preserve">                  </w:t>
            </w:r>
            <w:r w:rsidR="00095B8F">
              <w:rPr>
                <w:sz w:val="22"/>
              </w:rPr>
              <w:t xml:space="preserve"> </w:t>
            </w:r>
            <w:r w:rsidR="002A5D98">
              <w:rPr>
                <w:sz w:val="22"/>
              </w:rPr>
              <w:t xml:space="preserve"> </w:t>
            </w:r>
            <w:r w:rsidR="005473E0">
              <w:rPr>
                <w:sz w:val="22"/>
              </w:rPr>
              <w:t xml:space="preserve">5     </w:t>
            </w:r>
            <w:r w:rsidRPr="00403684">
              <w:rPr>
                <w:sz w:val="22"/>
              </w:rPr>
              <w:t xml:space="preserve">            </w:t>
            </w:r>
            <w:r w:rsidR="001E2F7B">
              <w:rPr>
                <w:sz w:val="22"/>
              </w:rPr>
              <w:t xml:space="preserve">   </w:t>
            </w:r>
            <w:r w:rsidR="003B2BFB">
              <w:rPr>
                <w:sz w:val="22"/>
              </w:rPr>
              <w:t xml:space="preserve"> </w:t>
            </w:r>
            <w:r w:rsidR="00EE7278">
              <w:rPr>
                <w:sz w:val="22"/>
              </w:rPr>
              <w:t xml:space="preserve">   </w:t>
            </w:r>
            <w:r w:rsidR="002A5D98">
              <w:rPr>
                <w:sz w:val="22"/>
              </w:rPr>
              <w:t xml:space="preserve">  </w:t>
            </w:r>
            <w:r w:rsidR="00EE7278">
              <w:rPr>
                <w:sz w:val="22"/>
              </w:rPr>
              <w:t>10</w:t>
            </w:r>
            <w:r w:rsidR="00891D55">
              <w:rPr>
                <w:sz w:val="22"/>
              </w:rPr>
              <w:t xml:space="preserve"> </w:t>
            </w:r>
            <w:r w:rsidRPr="00403684">
              <w:rPr>
                <w:sz w:val="22"/>
              </w:rPr>
              <w:t xml:space="preserve">                </w:t>
            </w:r>
            <w:r w:rsidR="00290AFE">
              <w:rPr>
                <w:sz w:val="22"/>
              </w:rPr>
              <w:t xml:space="preserve"> </w:t>
            </w:r>
            <w:r w:rsidR="00496C25">
              <w:rPr>
                <w:sz w:val="22"/>
              </w:rPr>
              <w:t xml:space="preserve">   </w:t>
            </w:r>
            <w:r w:rsidR="000E386C">
              <w:rPr>
                <w:sz w:val="22"/>
              </w:rPr>
              <w:t xml:space="preserve"> </w:t>
            </w:r>
            <w:r w:rsidR="00EE7278">
              <w:rPr>
                <w:sz w:val="22"/>
              </w:rPr>
              <w:t xml:space="preserve"> </w:t>
            </w:r>
            <w:r w:rsidR="00D432C5">
              <w:rPr>
                <w:sz w:val="22"/>
              </w:rPr>
              <w:t>5</w:t>
            </w:r>
          </w:p>
          <w:p w:rsidR="00BC1844" w:rsidRPr="00403684" w:rsidRDefault="00BC1844" w:rsidP="00282096">
            <w:pPr>
              <w:jc w:val="both"/>
              <w:rPr>
                <w:sz w:val="22"/>
              </w:rPr>
            </w:pPr>
            <w:r w:rsidRPr="00403684">
              <w:rPr>
                <w:sz w:val="22"/>
              </w:rPr>
              <w:t xml:space="preserve">                                          ____________________________  ___________________________</w:t>
            </w:r>
          </w:p>
          <w:p w:rsidR="00BC1844" w:rsidRPr="00403684" w:rsidRDefault="00BC1844" w:rsidP="00282096">
            <w:pPr>
              <w:jc w:val="both"/>
              <w:rPr>
                <w:sz w:val="22"/>
              </w:rPr>
            </w:pPr>
            <w:r w:rsidRPr="00403684">
              <w:rPr>
                <w:sz w:val="22"/>
              </w:rPr>
              <w:t xml:space="preserve">                         </w:t>
            </w:r>
            <w:r w:rsidR="00CA30FC" w:rsidRPr="00403684">
              <w:rPr>
                <w:sz w:val="22"/>
              </w:rPr>
              <w:t xml:space="preserve">                              </w:t>
            </w:r>
            <w:r w:rsidR="00F83A5D">
              <w:rPr>
                <w:sz w:val="22"/>
              </w:rPr>
              <w:t xml:space="preserve"> </w:t>
            </w:r>
            <w:r w:rsidR="002A5D98">
              <w:rPr>
                <w:sz w:val="22"/>
              </w:rPr>
              <w:t xml:space="preserve"> </w:t>
            </w:r>
            <w:r w:rsidR="00590813">
              <w:rPr>
                <w:sz w:val="22"/>
              </w:rPr>
              <w:t>5</w:t>
            </w:r>
            <w:r w:rsidR="002A5D98">
              <w:rPr>
                <w:sz w:val="22"/>
              </w:rPr>
              <w:t>63</w:t>
            </w:r>
            <w:r w:rsidRPr="00403684">
              <w:rPr>
                <w:sz w:val="22"/>
              </w:rPr>
              <w:t xml:space="preserve">              </w:t>
            </w:r>
            <w:r w:rsidR="003B2BFB">
              <w:rPr>
                <w:sz w:val="22"/>
              </w:rPr>
              <w:t xml:space="preserve">  </w:t>
            </w:r>
            <w:r w:rsidR="00EE7278">
              <w:rPr>
                <w:sz w:val="22"/>
              </w:rPr>
              <w:t>1,365</w:t>
            </w:r>
            <w:r w:rsidR="000E386C">
              <w:rPr>
                <w:sz w:val="22"/>
              </w:rPr>
              <w:t xml:space="preserve">  </w:t>
            </w:r>
            <w:r w:rsidRPr="00403684">
              <w:rPr>
                <w:sz w:val="22"/>
              </w:rPr>
              <w:t xml:space="preserve">             </w:t>
            </w:r>
            <w:r w:rsidR="003B2BFB">
              <w:rPr>
                <w:sz w:val="22"/>
              </w:rPr>
              <w:t xml:space="preserve">    </w:t>
            </w:r>
            <w:r w:rsidR="002A5D98">
              <w:rPr>
                <w:sz w:val="22"/>
              </w:rPr>
              <w:t xml:space="preserve">    563</w:t>
            </w:r>
            <w:r w:rsidR="009819E8">
              <w:rPr>
                <w:sz w:val="22"/>
              </w:rPr>
              <w:t xml:space="preserve"> </w:t>
            </w:r>
            <w:r w:rsidRPr="00403684">
              <w:rPr>
                <w:sz w:val="22"/>
              </w:rPr>
              <w:t xml:space="preserve">             </w:t>
            </w:r>
            <w:r w:rsidR="003B2BFB">
              <w:rPr>
                <w:sz w:val="22"/>
              </w:rPr>
              <w:t xml:space="preserve">   </w:t>
            </w:r>
            <w:r w:rsidR="00EE7278">
              <w:rPr>
                <w:sz w:val="22"/>
              </w:rPr>
              <w:t>1,365</w:t>
            </w:r>
          </w:p>
          <w:p w:rsidR="00BC1844" w:rsidRPr="00403684" w:rsidRDefault="00BC1844" w:rsidP="00282096">
            <w:pPr>
              <w:jc w:val="both"/>
              <w:rPr>
                <w:sz w:val="22"/>
              </w:rPr>
            </w:pPr>
            <w:r w:rsidRPr="00403684">
              <w:rPr>
                <w:sz w:val="22"/>
              </w:rPr>
              <w:t xml:space="preserve">                                          ____________________________   ___________________________</w:t>
            </w:r>
          </w:p>
          <w:p w:rsidR="00BC7081" w:rsidRPr="00403684" w:rsidRDefault="00BC1844" w:rsidP="00282096">
            <w:pPr>
              <w:jc w:val="both"/>
              <w:rPr>
                <w:sz w:val="22"/>
              </w:rPr>
            </w:pPr>
            <w:r w:rsidRPr="00403684">
              <w:rPr>
                <w:sz w:val="22"/>
              </w:rPr>
              <w:t xml:space="preserve"> </w:t>
            </w:r>
          </w:p>
        </w:tc>
      </w:tr>
      <w:tr w:rsidR="00475337" w:rsidTr="00287308">
        <w:trPr>
          <w:cantSplit/>
        </w:trPr>
        <w:tc>
          <w:tcPr>
            <w:tcW w:w="525" w:type="dxa"/>
            <w:gridSpan w:val="2"/>
          </w:tcPr>
          <w:p w:rsidR="00475337" w:rsidRPr="00403684" w:rsidRDefault="00475337" w:rsidP="00E14C1E">
            <w:pPr>
              <w:rPr>
                <w:sz w:val="22"/>
              </w:rPr>
            </w:pPr>
          </w:p>
        </w:tc>
        <w:tc>
          <w:tcPr>
            <w:tcW w:w="8849" w:type="dxa"/>
            <w:gridSpan w:val="8"/>
          </w:tcPr>
          <w:p w:rsidR="00475337" w:rsidRPr="00403684" w:rsidRDefault="00475337" w:rsidP="00282096">
            <w:pPr>
              <w:jc w:val="both"/>
              <w:rPr>
                <w:sz w:val="22"/>
              </w:rPr>
            </w:pPr>
          </w:p>
        </w:tc>
      </w:tr>
      <w:tr w:rsidR="00A25830" w:rsidTr="00282096">
        <w:trPr>
          <w:cantSplit/>
        </w:trPr>
        <w:tc>
          <w:tcPr>
            <w:tcW w:w="525" w:type="dxa"/>
            <w:gridSpan w:val="2"/>
          </w:tcPr>
          <w:p w:rsidR="00A25830" w:rsidRDefault="00A25830" w:rsidP="00282096">
            <w:pPr>
              <w:jc w:val="right"/>
              <w:rPr>
                <w:sz w:val="22"/>
              </w:rPr>
            </w:pPr>
            <w:r>
              <w:rPr>
                <w:sz w:val="22"/>
              </w:rPr>
              <w:t>1</w:t>
            </w:r>
            <w:r w:rsidR="00545CCD">
              <w:rPr>
                <w:sz w:val="22"/>
              </w:rPr>
              <w:t>2</w:t>
            </w:r>
            <w:r>
              <w:rPr>
                <w:sz w:val="22"/>
              </w:rPr>
              <w:t>.</w:t>
            </w:r>
          </w:p>
        </w:tc>
        <w:tc>
          <w:tcPr>
            <w:tcW w:w="8849" w:type="dxa"/>
            <w:gridSpan w:val="8"/>
          </w:tcPr>
          <w:p w:rsidR="00A25830" w:rsidRDefault="00A25830" w:rsidP="00282096">
            <w:pPr>
              <w:jc w:val="both"/>
              <w:rPr>
                <w:sz w:val="22"/>
              </w:rPr>
            </w:pPr>
            <w:r>
              <w:rPr>
                <w:sz w:val="22"/>
              </w:rPr>
              <w:t>Segmental Information</w:t>
            </w:r>
          </w:p>
          <w:p w:rsidR="00044C46" w:rsidRDefault="00044C46" w:rsidP="00282096">
            <w:pPr>
              <w:jc w:val="both"/>
              <w:rPr>
                <w:sz w:val="22"/>
              </w:rPr>
            </w:pPr>
            <w:r>
              <w:rPr>
                <w:sz w:val="22"/>
              </w:rPr>
              <w:t>The Group operates within a single business segment.</w:t>
            </w:r>
          </w:p>
        </w:tc>
      </w:tr>
      <w:tr w:rsidR="00A25830" w:rsidTr="00282096">
        <w:trPr>
          <w:cantSplit/>
        </w:trPr>
        <w:tc>
          <w:tcPr>
            <w:tcW w:w="525" w:type="dxa"/>
            <w:gridSpan w:val="2"/>
          </w:tcPr>
          <w:p w:rsidR="00A25830" w:rsidRDefault="00A25830" w:rsidP="00044C46">
            <w:pPr>
              <w:rPr>
                <w:sz w:val="22"/>
              </w:rPr>
            </w:pPr>
          </w:p>
        </w:tc>
        <w:tc>
          <w:tcPr>
            <w:tcW w:w="8849" w:type="dxa"/>
            <w:gridSpan w:val="8"/>
          </w:tcPr>
          <w:p w:rsidR="00A25830" w:rsidRDefault="00A25830" w:rsidP="00FD46BE">
            <w:pPr>
              <w:ind w:left="-3"/>
              <w:jc w:val="both"/>
              <w:rPr>
                <w:sz w:val="22"/>
              </w:rPr>
            </w:pPr>
            <w:r>
              <w:rPr>
                <w:sz w:val="22"/>
              </w:rPr>
              <w:t xml:space="preserve">The geographical segment revenue for the </w:t>
            </w:r>
            <w:r w:rsidR="008B7B9C">
              <w:rPr>
                <w:sz w:val="22"/>
              </w:rPr>
              <w:t xml:space="preserve">financial </w:t>
            </w:r>
            <w:r w:rsidR="00FD46BE">
              <w:rPr>
                <w:sz w:val="22"/>
              </w:rPr>
              <w:t>period</w:t>
            </w:r>
            <w:r>
              <w:rPr>
                <w:sz w:val="22"/>
              </w:rPr>
              <w:t xml:space="preserve"> ended 3</w:t>
            </w:r>
            <w:r w:rsidR="008B7B9C">
              <w:rPr>
                <w:sz w:val="22"/>
              </w:rPr>
              <w:t>1</w:t>
            </w:r>
            <w:r w:rsidR="00A97A80">
              <w:rPr>
                <w:sz w:val="22"/>
              </w:rPr>
              <w:t xml:space="preserve"> </w:t>
            </w:r>
            <w:r w:rsidR="00D175FD">
              <w:rPr>
                <w:sz w:val="22"/>
              </w:rPr>
              <w:t>March 2014</w:t>
            </w:r>
            <w:r>
              <w:rPr>
                <w:sz w:val="22"/>
              </w:rPr>
              <w:t xml:space="preserve"> were as follows:</w:t>
            </w:r>
          </w:p>
        </w:tc>
      </w:tr>
      <w:tr w:rsidR="00A25830" w:rsidTr="00282096">
        <w:trPr>
          <w:cantSplit/>
        </w:trPr>
        <w:tc>
          <w:tcPr>
            <w:tcW w:w="525" w:type="dxa"/>
            <w:gridSpan w:val="2"/>
          </w:tcPr>
          <w:p w:rsidR="00A25830" w:rsidRDefault="00A25830" w:rsidP="00282096">
            <w:pPr>
              <w:jc w:val="right"/>
              <w:rPr>
                <w:sz w:val="22"/>
              </w:rPr>
            </w:pPr>
          </w:p>
        </w:tc>
        <w:tc>
          <w:tcPr>
            <w:tcW w:w="8849" w:type="dxa"/>
            <w:gridSpan w:val="8"/>
          </w:tcPr>
          <w:p w:rsidR="00A25830" w:rsidRDefault="00A25830" w:rsidP="00282096">
            <w:pPr>
              <w:jc w:val="both"/>
              <w:rPr>
                <w:sz w:val="22"/>
              </w:rPr>
            </w:pP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p>
        </w:tc>
        <w:tc>
          <w:tcPr>
            <w:tcW w:w="2879" w:type="dxa"/>
            <w:gridSpan w:val="2"/>
          </w:tcPr>
          <w:p w:rsidR="00A25830" w:rsidRDefault="00ED5468" w:rsidP="00282096">
            <w:pPr>
              <w:jc w:val="center"/>
              <w:rPr>
                <w:b/>
                <w:sz w:val="22"/>
              </w:rPr>
            </w:pPr>
            <w:r>
              <w:rPr>
                <w:b/>
                <w:sz w:val="22"/>
              </w:rPr>
              <w:t>Current</w:t>
            </w:r>
            <w:r w:rsidR="00A25830">
              <w:rPr>
                <w:b/>
                <w:sz w:val="22"/>
              </w:rPr>
              <w:t xml:space="preserve"> Quarter</w:t>
            </w:r>
          </w:p>
          <w:p w:rsidR="00A25830" w:rsidRDefault="00A25830" w:rsidP="00282096">
            <w:pPr>
              <w:jc w:val="center"/>
              <w:rPr>
                <w:sz w:val="22"/>
              </w:rPr>
            </w:pPr>
            <w:r>
              <w:rPr>
                <w:b/>
                <w:sz w:val="22"/>
              </w:rPr>
              <w:t>3 Months ended</w:t>
            </w:r>
          </w:p>
        </w:tc>
        <w:tc>
          <w:tcPr>
            <w:tcW w:w="90" w:type="dxa"/>
          </w:tcPr>
          <w:p w:rsidR="00A25830" w:rsidRDefault="00A25830" w:rsidP="00282096">
            <w:pPr>
              <w:jc w:val="both"/>
              <w:rPr>
                <w:sz w:val="22"/>
              </w:rPr>
            </w:pPr>
          </w:p>
        </w:tc>
        <w:tc>
          <w:tcPr>
            <w:tcW w:w="3148" w:type="dxa"/>
            <w:gridSpan w:val="2"/>
          </w:tcPr>
          <w:p w:rsidR="00A25830" w:rsidRDefault="00A25830" w:rsidP="00282096">
            <w:pPr>
              <w:jc w:val="center"/>
              <w:rPr>
                <w:b/>
                <w:sz w:val="22"/>
              </w:rPr>
            </w:pPr>
            <w:r>
              <w:rPr>
                <w:b/>
                <w:sz w:val="22"/>
              </w:rPr>
              <w:t>Cumulative Quarter</w:t>
            </w:r>
          </w:p>
          <w:p w:rsidR="00A25830" w:rsidRDefault="00EC0D83" w:rsidP="00282096">
            <w:pPr>
              <w:jc w:val="center"/>
              <w:rPr>
                <w:sz w:val="22"/>
              </w:rPr>
            </w:pPr>
            <w:r>
              <w:rPr>
                <w:b/>
                <w:sz w:val="22"/>
              </w:rPr>
              <w:t xml:space="preserve"> 3</w:t>
            </w:r>
            <w:r w:rsidR="00A25830">
              <w:rPr>
                <w:b/>
                <w:sz w:val="22"/>
              </w:rPr>
              <w:t xml:space="preserve"> Months ended</w:t>
            </w: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p>
        </w:tc>
        <w:tc>
          <w:tcPr>
            <w:tcW w:w="1435" w:type="dxa"/>
          </w:tcPr>
          <w:p w:rsidR="00A25830" w:rsidRDefault="00A25830" w:rsidP="00282096">
            <w:pPr>
              <w:jc w:val="center"/>
              <w:rPr>
                <w:sz w:val="22"/>
              </w:rPr>
            </w:pPr>
            <w:r>
              <w:rPr>
                <w:b/>
                <w:sz w:val="22"/>
              </w:rPr>
              <w:t>3</w:t>
            </w:r>
            <w:r w:rsidR="008B7B9C">
              <w:rPr>
                <w:b/>
                <w:sz w:val="22"/>
              </w:rPr>
              <w:t>1</w:t>
            </w:r>
            <w:r>
              <w:rPr>
                <w:b/>
                <w:sz w:val="22"/>
              </w:rPr>
              <w:t xml:space="preserve"> </w:t>
            </w:r>
            <w:r w:rsidR="00C53A99">
              <w:rPr>
                <w:b/>
                <w:sz w:val="22"/>
              </w:rPr>
              <w:t>Mar 2014</w:t>
            </w:r>
          </w:p>
        </w:tc>
        <w:tc>
          <w:tcPr>
            <w:tcW w:w="1444" w:type="dxa"/>
          </w:tcPr>
          <w:p w:rsidR="00A25830" w:rsidRDefault="00A25830" w:rsidP="00282096">
            <w:pPr>
              <w:jc w:val="center"/>
              <w:rPr>
                <w:sz w:val="22"/>
              </w:rPr>
            </w:pPr>
            <w:r>
              <w:rPr>
                <w:b/>
                <w:sz w:val="22"/>
              </w:rPr>
              <w:t>3</w:t>
            </w:r>
            <w:r w:rsidR="008B7B9C">
              <w:rPr>
                <w:b/>
                <w:sz w:val="22"/>
              </w:rPr>
              <w:t xml:space="preserve">1 </w:t>
            </w:r>
            <w:r w:rsidR="00E906F7">
              <w:rPr>
                <w:b/>
                <w:sz w:val="22"/>
              </w:rPr>
              <w:t>Mar 2013</w:t>
            </w:r>
          </w:p>
        </w:tc>
        <w:tc>
          <w:tcPr>
            <w:tcW w:w="90" w:type="dxa"/>
          </w:tcPr>
          <w:p w:rsidR="00A25830" w:rsidRDefault="00A25830" w:rsidP="00282096">
            <w:pPr>
              <w:jc w:val="center"/>
              <w:rPr>
                <w:sz w:val="22"/>
              </w:rPr>
            </w:pPr>
          </w:p>
        </w:tc>
        <w:tc>
          <w:tcPr>
            <w:tcW w:w="1349" w:type="dxa"/>
          </w:tcPr>
          <w:p w:rsidR="00A25830" w:rsidRDefault="00A25830" w:rsidP="00282096">
            <w:pPr>
              <w:jc w:val="center"/>
              <w:rPr>
                <w:sz w:val="22"/>
              </w:rPr>
            </w:pPr>
            <w:r>
              <w:rPr>
                <w:b/>
                <w:sz w:val="22"/>
              </w:rPr>
              <w:t>3</w:t>
            </w:r>
            <w:r w:rsidR="008B7B9C">
              <w:rPr>
                <w:b/>
                <w:sz w:val="22"/>
              </w:rPr>
              <w:t>1</w:t>
            </w:r>
            <w:r w:rsidR="00ED5468">
              <w:rPr>
                <w:b/>
                <w:sz w:val="22"/>
              </w:rPr>
              <w:t xml:space="preserve"> </w:t>
            </w:r>
            <w:r w:rsidR="00C53A99">
              <w:rPr>
                <w:b/>
                <w:sz w:val="22"/>
              </w:rPr>
              <w:t>Mar 2014</w:t>
            </w:r>
          </w:p>
        </w:tc>
        <w:tc>
          <w:tcPr>
            <w:tcW w:w="1799" w:type="dxa"/>
          </w:tcPr>
          <w:p w:rsidR="00A25830" w:rsidRDefault="00A25830" w:rsidP="00282096">
            <w:pPr>
              <w:jc w:val="center"/>
              <w:rPr>
                <w:sz w:val="22"/>
              </w:rPr>
            </w:pPr>
            <w:r>
              <w:rPr>
                <w:b/>
                <w:sz w:val="22"/>
              </w:rPr>
              <w:t>3</w:t>
            </w:r>
            <w:r w:rsidR="008B7B9C">
              <w:rPr>
                <w:b/>
                <w:sz w:val="22"/>
              </w:rPr>
              <w:t>1</w:t>
            </w:r>
            <w:r w:rsidR="00ED5468">
              <w:rPr>
                <w:b/>
                <w:sz w:val="22"/>
              </w:rPr>
              <w:t xml:space="preserve"> </w:t>
            </w:r>
            <w:r w:rsidR="00E906F7">
              <w:rPr>
                <w:b/>
                <w:sz w:val="22"/>
              </w:rPr>
              <w:t>Mar 2013</w:t>
            </w: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r>
              <w:rPr>
                <w:sz w:val="22"/>
              </w:rPr>
              <w:t>By geographical area :</w:t>
            </w:r>
          </w:p>
        </w:tc>
        <w:tc>
          <w:tcPr>
            <w:tcW w:w="1435" w:type="dxa"/>
          </w:tcPr>
          <w:p w:rsidR="00A25830" w:rsidRDefault="00A25830" w:rsidP="00282096">
            <w:pPr>
              <w:jc w:val="center"/>
              <w:rPr>
                <w:bCs/>
                <w:sz w:val="22"/>
              </w:rPr>
            </w:pPr>
            <w:r>
              <w:rPr>
                <w:bCs/>
                <w:sz w:val="22"/>
              </w:rPr>
              <w:t>RM’000</w:t>
            </w:r>
          </w:p>
        </w:tc>
        <w:tc>
          <w:tcPr>
            <w:tcW w:w="1444" w:type="dxa"/>
          </w:tcPr>
          <w:p w:rsidR="00A25830" w:rsidRDefault="00A25830" w:rsidP="00282096">
            <w:pPr>
              <w:jc w:val="center"/>
              <w:rPr>
                <w:bCs/>
                <w:sz w:val="22"/>
              </w:rPr>
            </w:pPr>
            <w:r>
              <w:rPr>
                <w:bCs/>
                <w:sz w:val="22"/>
              </w:rPr>
              <w:t>RM’000</w:t>
            </w:r>
          </w:p>
        </w:tc>
        <w:tc>
          <w:tcPr>
            <w:tcW w:w="90" w:type="dxa"/>
          </w:tcPr>
          <w:p w:rsidR="00A25830" w:rsidRDefault="00A25830" w:rsidP="00282096">
            <w:pPr>
              <w:jc w:val="center"/>
              <w:rPr>
                <w:bCs/>
                <w:sz w:val="22"/>
              </w:rPr>
            </w:pPr>
          </w:p>
        </w:tc>
        <w:tc>
          <w:tcPr>
            <w:tcW w:w="1349" w:type="dxa"/>
          </w:tcPr>
          <w:p w:rsidR="00A25830" w:rsidRDefault="00A25830" w:rsidP="00282096">
            <w:pPr>
              <w:jc w:val="center"/>
              <w:rPr>
                <w:bCs/>
                <w:sz w:val="22"/>
              </w:rPr>
            </w:pPr>
            <w:r>
              <w:rPr>
                <w:bCs/>
                <w:sz w:val="22"/>
              </w:rPr>
              <w:t>RM’000</w:t>
            </w:r>
          </w:p>
        </w:tc>
        <w:tc>
          <w:tcPr>
            <w:tcW w:w="1799" w:type="dxa"/>
          </w:tcPr>
          <w:p w:rsidR="00A25830" w:rsidRDefault="00A25830" w:rsidP="00282096">
            <w:pPr>
              <w:jc w:val="center"/>
              <w:rPr>
                <w:bCs/>
                <w:sz w:val="22"/>
              </w:rPr>
            </w:pPr>
            <w:r>
              <w:rPr>
                <w:bCs/>
                <w:sz w:val="22"/>
              </w:rPr>
              <w:t>RM’000</w:t>
            </w:r>
          </w:p>
        </w:tc>
      </w:tr>
      <w:tr w:rsidR="00BA03E7" w:rsidTr="00282096">
        <w:trPr>
          <w:cantSplit/>
          <w:trHeight w:val="193"/>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Malaysia</w:t>
            </w:r>
          </w:p>
        </w:tc>
        <w:tc>
          <w:tcPr>
            <w:tcW w:w="1435" w:type="dxa"/>
          </w:tcPr>
          <w:p w:rsidR="00BA03E7" w:rsidRDefault="007D5F19" w:rsidP="00282096">
            <w:pPr>
              <w:ind w:right="432"/>
              <w:jc w:val="right"/>
              <w:rPr>
                <w:sz w:val="22"/>
              </w:rPr>
            </w:pPr>
            <w:r>
              <w:rPr>
                <w:sz w:val="22"/>
              </w:rPr>
              <w:t>9,075</w:t>
            </w:r>
          </w:p>
        </w:tc>
        <w:tc>
          <w:tcPr>
            <w:tcW w:w="1444" w:type="dxa"/>
          </w:tcPr>
          <w:p w:rsidR="00BA03E7" w:rsidRDefault="00D175FD" w:rsidP="00D175FD">
            <w:pPr>
              <w:ind w:right="432"/>
              <w:jc w:val="center"/>
              <w:rPr>
                <w:sz w:val="22"/>
              </w:rPr>
            </w:pPr>
            <w:r>
              <w:rPr>
                <w:sz w:val="22"/>
              </w:rPr>
              <w:t xml:space="preserve">      16,354</w:t>
            </w:r>
          </w:p>
        </w:tc>
        <w:tc>
          <w:tcPr>
            <w:tcW w:w="90" w:type="dxa"/>
          </w:tcPr>
          <w:p w:rsidR="00BA03E7" w:rsidRDefault="00BA03E7" w:rsidP="00282096">
            <w:pPr>
              <w:jc w:val="both"/>
              <w:rPr>
                <w:sz w:val="22"/>
              </w:rPr>
            </w:pPr>
          </w:p>
        </w:tc>
        <w:tc>
          <w:tcPr>
            <w:tcW w:w="1349" w:type="dxa"/>
          </w:tcPr>
          <w:p w:rsidR="00BA03E7" w:rsidRDefault="007D5F19" w:rsidP="00282096">
            <w:pPr>
              <w:ind w:right="432"/>
              <w:jc w:val="right"/>
              <w:rPr>
                <w:sz w:val="22"/>
              </w:rPr>
            </w:pPr>
            <w:r>
              <w:rPr>
                <w:sz w:val="22"/>
              </w:rPr>
              <w:t>9,075</w:t>
            </w:r>
          </w:p>
        </w:tc>
        <w:tc>
          <w:tcPr>
            <w:tcW w:w="1799" w:type="dxa"/>
          </w:tcPr>
          <w:p w:rsidR="00BA03E7" w:rsidRDefault="00D175FD" w:rsidP="00D175FD">
            <w:pPr>
              <w:ind w:right="432"/>
              <w:rPr>
                <w:sz w:val="22"/>
              </w:rPr>
            </w:pPr>
            <w:r>
              <w:rPr>
                <w:sz w:val="22"/>
              </w:rPr>
              <w:t xml:space="preserve">           16</w:t>
            </w:r>
            <w:r w:rsidR="00BA03E7">
              <w:rPr>
                <w:sz w:val="22"/>
              </w:rPr>
              <w:t>,</w:t>
            </w:r>
            <w:r>
              <w:rPr>
                <w:sz w:val="22"/>
              </w:rPr>
              <w:t>354</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ASEAN</w:t>
            </w:r>
          </w:p>
        </w:tc>
        <w:tc>
          <w:tcPr>
            <w:tcW w:w="1435" w:type="dxa"/>
          </w:tcPr>
          <w:p w:rsidR="00BA03E7" w:rsidRDefault="007D5F19" w:rsidP="00282096">
            <w:pPr>
              <w:ind w:right="432"/>
              <w:jc w:val="right"/>
              <w:rPr>
                <w:sz w:val="22"/>
              </w:rPr>
            </w:pPr>
            <w:r>
              <w:rPr>
                <w:sz w:val="22"/>
              </w:rPr>
              <w:t>5,289</w:t>
            </w:r>
          </w:p>
        </w:tc>
        <w:tc>
          <w:tcPr>
            <w:tcW w:w="1444" w:type="dxa"/>
          </w:tcPr>
          <w:p w:rsidR="00BA03E7" w:rsidRDefault="00D175FD" w:rsidP="00BA03E7">
            <w:pPr>
              <w:ind w:right="432"/>
              <w:jc w:val="right"/>
              <w:rPr>
                <w:sz w:val="22"/>
              </w:rPr>
            </w:pPr>
            <w:r>
              <w:rPr>
                <w:sz w:val="22"/>
              </w:rPr>
              <w:t>5,067</w:t>
            </w:r>
          </w:p>
        </w:tc>
        <w:tc>
          <w:tcPr>
            <w:tcW w:w="90" w:type="dxa"/>
          </w:tcPr>
          <w:p w:rsidR="00BA03E7" w:rsidRDefault="00BA03E7" w:rsidP="00282096">
            <w:pPr>
              <w:jc w:val="both"/>
              <w:rPr>
                <w:sz w:val="22"/>
              </w:rPr>
            </w:pPr>
          </w:p>
        </w:tc>
        <w:tc>
          <w:tcPr>
            <w:tcW w:w="1349" w:type="dxa"/>
          </w:tcPr>
          <w:p w:rsidR="00BA03E7" w:rsidRDefault="007D5F19" w:rsidP="00282096">
            <w:pPr>
              <w:ind w:right="432"/>
              <w:jc w:val="right"/>
              <w:rPr>
                <w:sz w:val="22"/>
              </w:rPr>
            </w:pPr>
            <w:r>
              <w:rPr>
                <w:sz w:val="22"/>
              </w:rPr>
              <w:t xml:space="preserve"> 5,289</w:t>
            </w:r>
          </w:p>
        </w:tc>
        <w:tc>
          <w:tcPr>
            <w:tcW w:w="1799" w:type="dxa"/>
          </w:tcPr>
          <w:p w:rsidR="00BA03E7" w:rsidRDefault="00D175FD" w:rsidP="00D175FD">
            <w:pPr>
              <w:ind w:right="432"/>
              <w:jc w:val="center"/>
              <w:rPr>
                <w:sz w:val="22"/>
              </w:rPr>
            </w:pPr>
            <w:r>
              <w:rPr>
                <w:sz w:val="22"/>
              </w:rPr>
              <w:t xml:space="preserve">         5</w:t>
            </w:r>
            <w:r w:rsidR="00BA03E7">
              <w:rPr>
                <w:sz w:val="22"/>
              </w:rPr>
              <w:t>,</w:t>
            </w:r>
            <w:r>
              <w:rPr>
                <w:sz w:val="22"/>
              </w:rPr>
              <w:t>067</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South Asia</w:t>
            </w:r>
          </w:p>
        </w:tc>
        <w:tc>
          <w:tcPr>
            <w:tcW w:w="1435" w:type="dxa"/>
          </w:tcPr>
          <w:p w:rsidR="00BA03E7" w:rsidRDefault="007D5F19" w:rsidP="00282096">
            <w:pPr>
              <w:ind w:right="432"/>
              <w:jc w:val="right"/>
              <w:rPr>
                <w:sz w:val="22"/>
                <w:lang w:val="de-DE"/>
              </w:rPr>
            </w:pPr>
            <w:r>
              <w:rPr>
                <w:sz w:val="22"/>
                <w:lang w:val="de-DE"/>
              </w:rPr>
              <w:t xml:space="preserve">   172</w:t>
            </w:r>
          </w:p>
        </w:tc>
        <w:tc>
          <w:tcPr>
            <w:tcW w:w="1444" w:type="dxa"/>
          </w:tcPr>
          <w:p w:rsidR="00BA03E7" w:rsidRDefault="00D175FD" w:rsidP="00D175FD">
            <w:pPr>
              <w:ind w:right="432"/>
              <w:jc w:val="right"/>
              <w:rPr>
                <w:sz w:val="22"/>
                <w:lang w:val="de-DE"/>
              </w:rPr>
            </w:pPr>
            <w:r>
              <w:rPr>
                <w:sz w:val="22"/>
                <w:lang w:val="de-DE"/>
              </w:rPr>
              <w:t xml:space="preserve">  488</w:t>
            </w:r>
          </w:p>
        </w:tc>
        <w:tc>
          <w:tcPr>
            <w:tcW w:w="90" w:type="dxa"/>
          </w:tcPr>
          <w:p w:rsidR="00BA03E7" w:rsidRDefault="00BA03E7" w:rsidP="00282096">
            <w:pPr>
              <w:jc w:val="both"/>
              <w:rPr>
                <w:sz w:val="22"/>
              </w:rPr>
            </w:pPr>
          </w:p>
        </w:tc>
        <w:tc>
          <w:tcPr>
            <w:tcW w:w="1349" w:type="dxa"/>
          </w:tcPr>
          <w:p w:rsidR="00BA03E7" w:rsidRDefault="007D5F19" w:rsidP="00282096">
            <w:pPr>
              <w:ind w:right="432"/>
              <w:jc w:val="right"/>
              <w:rPr>
                <w:sz w:val="22"/>
                <w:lang w:val="de-DE"/>
              </w:rPr>
            </w:pPr>
            <w:r>
              <w:rPr>
                <w:sz w:val="22"/>
                <w:lang w:val="de-DE"/>
              </w:rPr>
              <w:t xml:space="preserve">   172</w:t>
            </w:r>
          </w:p>
        </w:tc>
        <w:tc>
          <w:tcPr>
            <w:tcW w:w="1799" w:type="dxa"/>
          </w:tcPr>
          <w:p w:rsidR="00BA03E7" w:rsidRDefault="00BA03E7" w:rsidP="00D175FD">
            <w:pPr>
              <w:ind w:right="432"/>
              <w:jc w:val="center"/>
              <w:rPr>
                <w:sz w:val="22"/>
                <w:lang w:val="de-DE"/>
              </w:rPr>
            </w:pPr>
            <w:r>
              <w:rPr>
                <w:sz w:val="22"/>
                <w:lang w:val="de-DE"/>
              </w:rPr>
              <w:t xml:space="preserve">           </w:t>
            </w:r>
            <w:r w:rsidR="00D175FD">
              <w:rPr>
                <w:sz w:val="22"/>
                <w:lang w:val="de-DE"/>
              </w:rPr>
              <w:t>488</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lang w:val="de-DE"/>
              </w:rPr>
            </w:pPr>
            <w:r>
              <w:rPr>
                <w:sz w:val="22"/>
                <w:lang w:val="de-DE"/>
              </w:rPr>
              <w:t>East Asia</w:t>
            </w:r>
          </w:p>
        </w:tc>
        <w:tc>
          <w:tcPr>
            <w:tcW w:w="1435" w:type="dxa"/>
          </w:tcPr>
          <w:p w:rsidR="00BA03E7" w:rsidRDefault="007D5F19" w:rsidP="001552F7">
            <w:pPr>
              <w:ind w:right="432"/>
              <w:rPr>
                <w:sz w:val="22"/>
              </w:rPr>
            </w:pPr>
            <w:r>
              <w:rPr>
                <w:sz w:val="22"/>
              </w:rPr>
              <w:t xml:space="preserve">           147</w:t>
            </w:r>
          </w:p>
        </w:tc>
        <w:tc>
          <w:tcPr>
            <w:tcW w:w="1444" w:type="dxa"/>
          </w:tcPr>
          <w:p w:rsidR="00BA03E7" w:rsidRDefault="00D175FD" w:rsidP="00BA03E7">
            <w:pPr>
              <w:ind w:right="432"/>
              <w:rPr>
                <w:sz w:val="22"/>
              </w:rPr>
            </w:pPr>
            <w:r>
              <w:rPr>
                <w:sz w:val="22"/>
              </w:rPr>
              <w:t xml:space="preserve">             64</w:t>
            </w:r>
          </w:p>
        </w:tc>
        <w:tc>
          <w:tcPr>
            <w:tcW w:w="90" w:type="dxa"/>
          </w:tcPr>
          <w:p w:rsidR="00BA03E7" w:rsidRDefault="00BA03E7" w:rsidP="00282096">
            <w:pPr>
              <w:jc w:val="both"/>
              <w:rPr>
                <w:sz w:val="22"/>
              </w:rPr>
            </w:pPr>
          </w:p>
        </w:tc>
        <w:tc>
          <w:tcPr>
            <w:tcW w:w="1349" w:type="dxa"/>
          </w:tcPr>
          <w:p w:rsidR="00BA03E7" w:rsidRDefault="007D5F19" w:rsidP="00282096">
            <w:pPr>
              <w:ind w:right="432"/>
              <w:rPr>
                <w:sz w:val="22"/>
              </w:rPr>
            </w:pPr>
            <w:r>
              <w:rPr>
                <w:sz w:val="22"/>
              </w:rPr>
              <w:t xml:space="preserve">          147</w:t>
            </w:r>
          </w:p>
        </w:tc>
        <w:tc>
          <w:tcPr>
            <w:tcW w:w="1799" w:type="dxa"/>
          </w:tcPr>
          <w:p w:rsidR="00BA03E7" w:rsidRDefault="00D175FD" w:rsidP="00070295">
            <w:pPr>
              <w:ind w:right="432"/>
              <w:rPr>
                <w:sz w:val="22"/>
              </w:rPr>
            </w:pPr>
            <w:r>
              <w:rPr>
                <w:sz w:val="22"/>
              </w:rPr>
              <w:t xml:space="preserve">                 64</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Middle East</w:t>
            </w:r>
          </w:p>
        </w:tc>
        <w:tc>
          <w:tcPr>
            <w:tcW w:w="1435" w:type="dxa"/>
          </w:tcPr>
          <w:p w:rsidR="00BA03E7" w:rsidRDefault="00BA03E7" w:rsidP="00282096">
            <w:pPr>
              <w:ind w:right="432"/>
              <w:rPr>
                <w:sz w:val="22"/>
              </w:rPr>
            </w:pPr>
            <w:r>
              <w:rPr>
                <w:sz w:val="22"/>
              </w:rPr>
              <w:t xml:space="preserve">             -</w:t>
            </w:r>
          </w:p>
        </w:tc>
        <w:tc>
          <w:tcPr>
            <w:tcW w:w="1444" w:type="dxa"/>
          </w:tcPr>
          <w:p w:rsidR="00BA03E7" w:rsidRDefault="00BA03E7" w:rsidP="00BA03E7">
            <w:pPr>
              <w:ind w:right="432"/>
              <w:rPr>
                <w:sz w:val="22"/>
              </w:rPr>
            </w:pPr>
            <w:r>
              <w:rPr>
                <w:sz w:val="22"/>
              </w:rPr>
              <w:t xml:space="preserve">             -</w:t>
            </w:r>
          </w:p>
        </w:tc>
        <w:tc>
          <w:tcPr>
            <w:tcW w:w="90" w:type="dxa"/>
          </w:tcPr>
          <w:p w:rsidR="00BA03E7" w:rsidRDefault="00BA03E7" w:rsidP="00282096">
            <w:pPr>
              <w:jc w:val="both"/>
              <w:rPr>
                <w:sz w:val="22"/>
              </w:rPr>
            </w:pPr>
          </w:p>
        </w:tc>
        <w:tc>
          <w:tcPr>
            <w:tcW w:w="1349" w:type="dxa"/>
          </w:tcPr>
          <w:p w:rsidR="00BA03E7" w:rsidRDefault="00BA03E7" w:rsidP="00AF58C7">
            <w:pPr>
              <w:ind w:right="432"/>
              <w:rPr>
                <w:sz w:val="22"/>
              </w:rPr>
            </w:pPr>
            <w:r>
              <w:rPr>
                <w:sz w:val="22"/>
              </w:rPr>
              <w:t xml:space="preserve">            -</w:t>
            </w:r>
          </w:p>
        </w:tc>
        <w:tc>
          <w:tcPr>
            <w:tcW w:w="1799" w:type="dxa"/>
          </w:tcPr>
          <w:p w:rsidR="00BA03E7" w:rsidRDefault="00BA03E7" w:rsidP="00BA03E7">
            <w:pPr>
              <w:ind w:right="432"/>
              <w:rPr>
                <w:sz w:val="22"/>
              </w:rPr>
            </w:pPr>
            <w:r>
              <w:rPr>
                <w:sz w:val="22"/>
              </w:rPr>
              <w:t xml:space="preserve">                -</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Australasia</w:t>
            </w:r>
          </w:p>
        </w:tc>
        <w:tc>
          <w:tcPr>
            <w:tcW w:w="1435" w:type="dxa"/>
          </w:tcPr>
          <w:p w:rsidR="00BA03E7" w:rsidRDefault="007D5F19" w:rsidP="00282096">
            <w:pPr>
              <w:ind w:right="432"/>
              <w:jc w:val="right"/>
              <w:rPr>
                <w:sz w:val="22"/>
              </w:rPr>
            </w:pPr>
            <w:r>
              <w:rPr>
                <w:sz w:val="22"/>
              </w:rPr>
              <w:t>393</w:t>
            </w:r>
          </w:p>
        </w:tc>
        <w:tc>
          <w:tcPr>
            <w:tcW w:w="1444" w:type="dxa"/>
          </w:tcPr>
          <w:p w:rsidR="00BA03E7" w:rsidRDefault="00D175FD" w:rsidP="00D175FD">
            <w:pPr>
              <w:ind w:right="432"/>
              <w:jc w:val="center"/>
              <w:rPr>
                <w:sz w:val="22"/>
              </w:rPr>
            </w:pPr>
            <w:r>
              <w:rPr>
                <w:sz w:val="22"/>
              </w:rPr>
              <w:t xml:space="preserve">          452</w:t>
            </w:r>
          </w:p>
        </w:tc>
        <w:tc>
          <w:tcPr>
            <w:tcW w:w="90" w:type="dxa"/>
          </w:tcPr>
          <w:p w:rsidR="00BA03E7" w:rsidRDefault="00BA03E7" w:rsidP="00282096">
            <w:pPr>
              <w:jc w:val="both"/>
              <w:rPr>
                <w:sz w:val="22"/>
              </w:rPr>
            </w:pPr>
          </w:p>
        </w:tc>
        <w:tc>
          <w:tcPr>
            <w:tcW w:w="1349" w:type="dxa"/>
          </w:tcPr>
          <w:p w:rsidR="00BA03E7" w:rsidRDefault="00BA03E7" w:rsidP="00282096">
            <w:pPr>
              <w:ind w:right="432"/>
              <w:jc w:val="right"/>
              <w:rPr>
                <w:sz w:val="22"/>
              </w:rPr>
            </w:pPr>
            <w:r>
              <w:rPr>
                <w:sz w:val="22"/>
              </w:rPr>
              <w:t xml:space="preserve">  </w:t>
            </w:r>
            <w:r w:rsidR="007D5F19">
              <w:rPr>
                <w:sz w:val="22"/>
              </w:rPr>
              <w:t>393</w:t>
            </w:r>
          </w:p>
        </w:tc>
        <w:tc>
          <w:tcPr>
            <w:tcW w:w="1799" w:type="dxa"/>
          </w:tcPr>
          <w:p w:rsidR="00BA03E7" w:rsidRDefault="00BA03E7" w:rsidP="00D175FD">
            <w:pPr>
              <w:ind w:right="432"/>
              <w:jc w:val="center"/>
              <w:rPr>
                <w:sz w:val="22"/>
              </w:rPr>
            </w:pPr>
            <w:r>
              <w:rPr>
                <w:sz w:val="22"/>
              </w:rPr>
              <w:t xml:space="preserve">          </w:t>
            </w:r>
            <w:r w:rsidR="00D175FD">
              <w:rPr>
                <w:sz w:val="22"/>
              </w:rPr>
              <w:t>452</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East Europe</w:t>
            </w:r>
          </w:p>
        </w:tc>
        <w:tc>
          <w:tcPr>
            <w:tcW w:w="1435" w:type="dxa"/>
          </w:tcPr>
          <w:p w:rsidR="00BA03E7" w:rsidRDefault="00BA03E7" w:rsidP="00282096">
            <w:pPr>
              <w:ind w:right="542"/>
              <w:jc w:val="right"/>
              <w:rPr>
                <w:sz w:val="22"/>
              </w:rPr>
            </w:pPr>
            <w:r>
              <w:rPr>
                <w:sz w:val="22"/>
              </w:rPr>
              <w:t xml:space="preserve">  -</w:t>
            </w:r>
          </w:p>
        </w:tc>
        <w:tc>
          <w:tcPr>
            <w:tcW w:w="1444" w:type="dxa"/>
          </w:tcPr>
          <w:p w:rsidR="00BA03E7" w:rsidRDefault="00BA03E7" w:rsidP="00BA03E7">
            <w:pPr>
              <w:ind w:right="542"/>
              <w:jc w:val="right"/>
              <w:rPr>
                <w:sz w:val="22"/>
              </w:rPr>
            </w:pPr>
            <w:r>
              <w:rPr>
                <w:sz w:val="22"/>
              </w:rPr>
              <w:t xml:space="preserve">  -</w:t>
            </w:r>
          </w:p>
        </w:tc>
        <w:tc>
          <w:tcPr>
            <w:tcW w:w="90" w:type="dxa"/>
          </w:tcPr>
          <w:p w:rsidR="00BA03E7" w:rsidRDefault="00BA03E7" w:rsidP="00282096">
            <w:pPr>
              <w:jc w:val="both"/>
              <w:rPr>
                <w:sz w:val="22"/>
              </w:rPr>
            </w:pPr>
          </w:p>
        </w:tc>
        <w:tc>
          <w:tcPr>
            <w:tcW w:w="1349" w:type="dxa"/>
          </w:tcPr>
          <w:p w:rsidR="00BA03E7" w:rsidRDefault="00BA03E7" w:rsidP="00282096">
            <w:pPr>
              <w:ind w:right="542"/>
              <w:jc w:val="right"/>
              <w:rPr>
                <w:sz w:val="22"/>
              </w:rPr>
            </w:pPr>
            <w:r>
              <w:rPr>
                <w:sz w:val="22"/>
              </w:rPr>
              <w:t xml:space="preserve">  -</w:t>
            </w:r>
          </w:p>
        </w:tc>
        <w:tc>
          <w:tcPr>
            <w:tcW w:w="1799" w:type="dxa"/>
          </w:tcPr>
          <w:p w:rsidR="00BA03E7" w:rsidRDefault="00BA03E7" w:rsidP="00BA03E7">
            <w:pPr>
              <w:ind w:right="542"/>
              <w:jc w:val="center"/>
              <w:rPr>
                <w:sz w:val="22"/>
              </w:rPr>
            </w:pPr>
            <w:r>
              <w:rPr>
                <w:sz w:val="22"/>
              </w:rPr>
              <w:t xml:space="preserve">            -</w:t>
            </w:r>
          </w:p>
        </w:tc>
      </w:tr>
      <w:tr w:rsidR="00BA03E7" w:rsidTr="00282096">
        <w:trPr>
          <w:cantSplit/>
        </w:trPr>
        <w:tc>
          <w:tcPr>
            <w:tcW w:w="525" w:type="dxa"/>
            <w:gridSpan w:val="2"/>
          </w:tcPr>
          <w:p w:rsidR="00BA03E7" w:rsidRDefault="00BA03E7" w:rsidP="00282096">
            <w:pPr>
              <w:jc w:val="right"/>
              <w:rPr>
                <w:sz w:val="22"/>
              </w:rPr>
            </w:pPr>
          </w:p>
        </w:tc>
        <w:tc>
          <w:tcPr>
            <w:tcW w:w="657" w:type="dxa"/>
            <w:gridSpan w:val="2"/>
          </w:tcPr>
          <w:p w:rsidR="00BA03E7" w:rsidRDefault="00BA03E7" w:rsidP="00282096">
            <w:pPr>
              <w:jc w:val="center"/>
              <w:rPr>
                <w:sz w:val="22"/>
              </w:rPr>
            </w:pPr>
            <w:r>
              <w:rPr>
                <w:sz w:val="22"/>
              </w:rPr>
              <w:t>-</w:t>
            </w:r>
          </w:p>
        </w:tc>
        <w:tc>
          <w:tcPr>
            <w:tcW w:w="2075" w:type="dxa"/>
          </w:tcPr>
          <w:p w:rsidR="00BA03E7" w:rsidRDefault="00BA03E7" w:rsidP="00282096">
            <w:pPr>
              <w:jc w:val="both"/>
              <w:rPr>
                <w:sz w:val="22"/>
              </w:rPr>
            </w:pPr>
            <w:r>
              <w:rPr>
                <w:sz w:val="22"/>
              </w:rPr>
              <w:t>Africa</w:t>
            </w:r>
          </w:p>
        </w:tc>
        <w:tc>
          <w:tcPr>
            <w:tcW w:w="1435" w:type="dxa"/>
            <w:tcBorders>
              <w:bottom w:val="single" w:sz="4" w:space="0" w:color="auto"/>
            </w:tcBorders>
          </w:tcPr>
          <w:p w:rsidR="00BA03E7" w:rsidRDefault="00BA03E7" w:rsidP="00282096">
            <w:pPr>
              <w:ind w:right="432"/>
              <w:jc w:val="center"/>
              <w:rPr>
                <w:sz w:val="22"/>
              </w:rPr>
            </w:pPr>
            <w:r>
              <w:rPr>
                <w:sz w:val="22"/>
              </w:rPr>
              <w:t xml:space="preserve">             -</w:t>
            </w:r>
          </w:p>
        </w:tc>
        <w:tc>
          <w:tcPr>
            <w:tcW w:w="1444" w:type="dxa"/>
            <w:tcBorders>
              <w:bottom w:val="single" w:sz="4" w:space="0" w:color="auto"/>
            </w:tcBorders>
          </w:tcPr>
          <w:p w:rsidR="00BA03E7" w:rsidRDefault="00BA03E7" w:rsidP="00BA03E7">
            <w:pPr>
              <w:ind w:right="432"/>
              <w:jc w:val="center"/>
              <w:rPr>
                <w:sz w:val="22"/>
              </w:rPr>
            </w:pPr>
            <w:r>
              <w:rPr>
                <w:sz w:val="22"/>
              </w:rPr>
              <w:t xml:space="preserve">             -</w:t>
            </w:r>
          </w:p>
        </w:tc>
        <w:tc>
          <w:tcPr>
            <w:tcW w:w="90" w:type="dxa"/>
          </w:tcPr>
          <w:p w:rsidR="00BA03E7" w:rsidRDefault="00BA03E7" w:rsidP="00282096">
            <w:pPr>
              <w:jc w:val="both"/>
              <w:rPr>
                <w:sz w:val="22"/>
              </w:rPr>
            </w:pPr>
          </w:p>
        </w:tc>
        <w:tc>
          <w:tcPr>
            <w:tcW w:w="1349" w:type="dxa"/>
            <w:tcBorders>
              <w:bottom w:val="single" w:sz="4" w:space="0" w:color="auto"/>
            </w:tcBorders>
          </w:tcPr>
          <w:p w:rsidR="00BA03E7" w:rsidRDefault="00BA03E7" w:rsidP="00282096">
            <w:pPr>
              <w:ind w:right="432"/>
              <w:jc w:val="center"/>
              <w:rPr>
                <w:sz w:val="22"/>
              </w:rPr>
            </w:pPr>
            <w:r>
              <w:rPr>
                <w:sz w:val="22"/>
              </w:rPr>
              <w:t xml:space="preserve">             -</w:t>
            </w:r>
          </w:p>
        </w:tc>
        <w:tc>
          <w:tcPr>
            <w:tcW w:w="1799" w:type="dxa"/>
            <w:tcBorders>
              <w:bottom w:val="single" w:sz="4" w:space="0" w:color="auto"/>
            </w:tcBorders>
          </w:tcPr>
          <w:p w:rsidR="00BA03E7" w:rsidRDefault="00BA03E7" w:rsidP="00BA03E7">
            <w:pPr>
              <w:ind w:right="432"/>
              <w:jc w:val="center"/>
              <w:rPr>
                <w:sz w:val="22"/>
              </w:rPr>
            </w:pPr>
            <w:r>
              <w:rPr>
                <w:sz w:val="22"/>
              </w:rPr>
              <w:t xml:space="preserve">           -</w:t>
            </w:r>
          </w:p>
        </w:tc>
      </w:tr>
      <w:tr w:rsidR="00A25830" w:rsidTr="00282096">
        <w:trPr>
          <w:cantSplit/>
        </w:trPr>
        <w:tc>
          <w:tcPr>
            <w:tcW w:w="525" w:type="dxa"/>
            <w:gridSpan w:val="2"/>
          </w:tcPr>
          <w:p w:rsidR="00A25830" w:rsidRDefault="00A25830" w:rsidP="00282096">
            <w:pPr>
              <w:jc w:val="right"/>
              <w:rPr>
                <w:sz w:val="22"/>
              </w:rPr>
            </w:pPr>
          </w:p>
        </w:tc>
        <w:tc>
          <w:tcPr>
            <w:tcW w:w="2732" w:type="dxa"/>
            <w:gridSpan w:val="3"/>
          </w:tcPr>
          <w:p w:rsidR="00A25830" w:rsidRDefault="00A25830" w:rsidP="00282096">
            <w:pPr>
              <w:jc w:val="both"/>
              <w:rPr>
                <w:sz w:val="22"/>
              </w:rPr>
            </w:pPr>
          </w:p>
        </w:tc>
        <w:tc>
          <w:tcPr>
            <w:tcW w:w="1435" w:type="dxa"/>
            <w:tcBorders>
              <w:top w:val="single" w:sz="4" w:space="0" w:color="auto"/>
              <w:bottom w:val="single" w:sz="4" w:space="0" w:color="auto"/>
            </w:tcBorders>
          </w:tcPr>
          <w:p w:rsidR="00A25830" w:rsidRDefault="007D5F19" w:rsidP="00282096">
            <w:pPr>
              <w:ind w:right="432"/>
              <w:jc w:val="right"/>
              <w:rPr>
                <w:sz w:val="22"/>
              </w:rPr>
            </w:pPr>
            <w:r>
              <w:rPr>
                <w:sz w:val="22"/>
              </w:rPr>
              <w:t xml:space="preserve"> 15</w:t>
            </w:r>
            <w:r w:rsidR="005306B6">
              <w:rPr>
                <w:sz w:val="22"/>
              </w:rPr>
              <w:t>,</w:t>
            </w:r>
            <w:r>
              <w:rPr>
                <w:sz w:val="22"/>
              </w:rPr>
              <w:t>076</w:t>
            </w:r>
          </w:p>
        </w:tc>
        <w:tc>
          <w:tcPr>
            <w:tcW w:w="1444" w:type="dxa"/>
            <w:tcBorders>
              <w:top w:val="single" w:sz="4" w:space="0" w:color="auto"/>
              <w:bottom w:val="single" w:sz="4" w:space="0" w:color="auto"/>
            </w:tcBorders>
          </w:tcPr>
          <w:p w:rsidR="00A25830" w:rsidRDefault="00A25830" w:rsidP="0084779D">
            <w:pPr>
              <w:ind w:left="-1456" w:right="528" w:hanging="2"/>
              <w:jc w:val="right"/>
              <w:rPr>
                <w:sz w:val="22"/>
              </w:rPr>
            </w:pPr>
            <w:r>
              <w:rPr>
                <w:sz w:val="22"/>
              </w:rPr>
              <w:t xml:space="preserve">              </w:t>
            </w:r>
            <w:r w:rsidR="0084779D">
              <w:rPr>
                <w:sz w:val="22"/>
              </w:rPr>
              <w:t xml:space="preserve">     </w:t>
            </w:r>
            <w:r w:rsidR="003B2BFB">
              <w:rPr>
                <w:sz w:val="22"/>
              </w:rPr>
              <w:t xml:space="preserve"> </w:t>
            </w:r>
            <w:r w:rsidR="00D87AE3">
              <w:rPr>
                <w:sz w:val="22"/>
              </w:rPr>
              <w:t xml:space="preserve">   </w:t>
            </w:r>
            <w:r w:rsidR="00D175FD">
              <w:rPr>
                <w:sz w:val="22"/>
              </w:rPr>
              <w:t xml:space="preserve">  22</w:t>
            </w:r>
            <w:r w:rsidR="005D6942">
              <w:rPr>
                <w:sz w:val="22"/>
              </w:rPr>
              <w:t>,</w:t>
            </w:r>
            <w:r w:rsidR="00D175FD">
              <w:rPr>
                <w:sz w:val="22"/>
              </w:rPr>
              <w:t>425</w:t>
            </w:r>
          </w:p>
        </w:tc>
        <w:tc>
          <w:tcPr>
            <w:tcW w:w="90" w:type="dxa"/>
            <w:tcBorders>
              <w:bottom w:val="single" w:sz="4" w:space="0" w:color="auto"/>
            </w:tcBorders>
          </w:tcPr>
          <w:p w:rsidR="00A25830" w:rsidRDefault="00A25830" w:rsidP="00282096">
            <w:pPr>
              <w:ind w:right="432"/>
              <w:jc w:val="right"/>
              <w:rPr>
                <w:sz w:val="22"/>
              </w:rPr>
            </w:pPr>
          </w:p>
        </w:tc>
        <w:tc>
          <w:tcPr>
            <w:tcW w:w="1349" w:type="dxa"/>
            <w:tcBorders>
              <w:top w:val="single" w:sz="4" w:space="0" w:color="auto"/>
              <w:bottom w:val="single" w:sz="4" w:space="0" w:color="auto"/>
            </w:tcBorders>
          </w:tcPr>
          <w:p w:rsidR="00A25830" w:rsidRDefault="00A25830" w:rsidP="00282096">
            <w:pPr>
              <w:ind w:right="436"/>
              <w:jc w:val="right"/>
              <w:rPr>
                <w:sz w:val="22"/>
              </w:rPr>
            </w:pPr>
            <w:r>
              <w:rPr>
                <w:sz w:val="22"/>
              </w:rPr>
              <w:t xml:space="preserve"> </w:t>
            </w:r>
            <w:r w:rsidR="003B2BFB">
              <w:rPr>
                <w:sz w:val="22"/>
              </w:rPr>
              <w:t xml:space="preserve">    </w:t>
            </w:r>
            <w:r w:rsidR="007D5F19">
              <w:rPr>
                <w:sz w:val="22"/>
              </w:rPr>
              <w:t>15</w:t>
            </w:r>
            <w:r>
              <w:rPr>
                <w:sz w:val="22"/>
              </w:rPr>
              <w:t>,</w:t>
            </w:r>
            <w:r w:rsidR="007D5F19">
              <w:rPr>
                <w:sz w:val="22"/>
              </w:rPr>
              <w:t>076</w:t>
            </w:r>
          </w:p>
        </w:tc>
        <w:tc>
          <w:tcPr>
            <w:tcW w:w="1799" w:type="dxa"/>
            <w:tcBorders>
              <w:top w:val="single" w:sz="4" w:space="0" w:color="auto"/>
              <w:bottom w:val="single" w:sz="4" w:space="0" w:color="auto"/>
            </w:tcBorders>
          </w:tcPr>
          <w:p w:rsidR="00A25830" w:rsidRDefault="00A25830" w:rsidP="00282096">
            <w:pPr>
              <w:ind w:right="592"/>
              <w:jc w:val="center"/>
              <w:rPr>
                <w:sz w:val="22"/>
              </w:rPr>
            </w:pPr>
            <w:r>
              <w:rPr>
                <w:sz w:val="22"/>
              </w:rPr>
              <w:t xml:space="preserve">       </w:t>
            </w:r>
            <w:r w:rsidR="00D87AE3">
              <w:rPr>
                <w:sz w:val="22"/>
              </w:rPr>
              <w:t xml:space="preserve"> </w:t>
            </w:r>
            <w:r w:rsidR="00E159D7">
              <w:rPr>
                <w:sz w:val="22"/>
              </w:rPr>
              <w:t xml:space="preserve">  </w:t>
            </w:r>
            <w:r w:rsidR="00D175FD">
              <w:rPr>
                <w:sz w:val="22"/>
              </w:rPr>
              <w:t>22</w:t>
            </w:r>
            <w:r w:rsidR="00E159D7">
              <w:rPr>
                <w:sz w:val="22"/>
              </w:rPr>
              <w:t>,</w:t>
            </w:r>
            <w:r w:rsidR="00D175FD">
              <w:rPr>
                <w:sz w:val="22"/>
              </w:rPr>
              <w:t>425</w:t>
            </w:r>
          </w:p>
        </w:tc>
      </w:tr>
      <w:tr w:rsidR="00287308" w:rsidTr="00282096">
        <w:trPr>
          <w:gridAfter w:val="8"/>
          <w:wAfter w:w="8849" w:type="dxa"/>
          <w:cantSplit/>
        </w:trPr>
        <w:tc>
          <w:tcPr>
            <w:tcW w:w="525" w:type="dxa"/>
            <w:gridSpan w:val="2"/>
          </w:tcPr>
          <w:p w:rsidR="00287308" w:rsidRDefault="00287308" w:rsidP="00282096">
            <w:pPr>
              <w:jc w:val="right"/>
              <w:rPr>
                <w:sz w:val="22"/>
              </w:rPr>
            </w:pPr>
          </w:p>
        </w:tc>
      </w:tr>
      <w:tr w:rsidR="00EF24A6" w:rsidTr="00282096">
        <w:trPr>
          <w:cantSplit/>
        </w:trPr>
        <w:tc>
          <w:tcPr>
            <w:tcW w:w="525" w:type="dxa"/>
            <w:gridSpan w:val="2"/>
          </w:tcPr>
          <w:p w:rsidR="00EF24A6" w:rsidRDefault="00EF24A6" w:rsidP="002D40E6">
            <w:pPr>
              <w:jc w:val="center"/>
              <w:rPr>
                <w:sz w:val="22"/>
              </w:rPr>
            </w:pPr>
          </w:p>
        </w:tc>
        <w:tc>
          <w:tcPr>
            <w:tcW w:w="8849" w:type="dxa"/>
            <w:gridSpan w:val="8"/>
          </w:tcPr>
          <w:p w:rsidR="00EF24A6" w:rsidRDefault="00EF24A6" w:rsidP="002D40E6">
            <w:pPr>
              <w:jc w:val="both"/>
              <w:rPr>
                <w:sz w:val="22"/>
              </w:rPr>
            </w:pPr>
          </w:p>
        </w:tc>
      </w:tr>
      <w:tr w:rsidR="00EF24A6" w:rsidTr="00282096">
        <w:trPr>
          <w:cantSplit/>
        </w:trPr>
        <w:tc>
          <w:tcPr>
            <w:tcW w:w="525" w:type="dxa"/>
            <w:gridSpan w:val="2"/>
          </w:tcPr>
          <w:p w:rsidR="00EF24A6" w:rsidRPr="00403684" w:rsidRDefault="00EF24A6" w:rsidP="002D40E6">
            <w:pPr>
              <w:jc w:val="center"/>
              <w:rPr>
                <w:sz w:val="22"/>
              </w:rPr>
            </w:pPr>
            <w:r w:rsidRPr="00403684">
              <w:rPr>
                <w:sz w:val="22"/>
              </w:rPr>
              <w:t xml:space="preserve"> 1</w:t>
            </w:r>
            <w:r w:rsidR="00545CCD">
              <w:rPr>
                <w:sz w:val="22"/>
              </w:rPr>
              <w:t>3</w:t>
            </w:r>
            <w:r w:rsidRPr="00403684">
              <w:rPr>
                <w:sz w:val="22"/>
              </w:rPr>
              <w:t xml:space="preserve">.  </w:t>
            </w:r>
          </w:p>
        </w:tc>
        <w:tc>
          <w:tcPr>
            <w:tcW w:w="8849" w:type="dxa"/>
            <w:gridSpan w:val="8"/>
          </w:tcPr>
          <w:p w:rsidR="00EF24A6" w:rsidRPr="00403684" w:rsidRDefault="00EF24A6" w:rsidP="002D40E6">
            <w:pPr>
              <w:jc w:val="both"/>
              <w:rPr>
                <w:sz w:val="22"/>
              </w:rPr>
            </w:pPr>
            <w:r w:rsidRPr="00403684">
              <w:rPr>
                <w:sz w:val="22"/>
              </w:rPr>
              <w:t>Related Party Disclosures</w:t>
            </w:r>
          </w:p>
          <w:p w:rsidR="00EF24A6" w:rsidRPr="00403684" w:rsidRDefault="00EF24A6" w:rsidP="002D40E6">
            <w:pPr>
              <w:jc w:val="both"/>
              <w:rPr>
                <w:b/>
                <w:sz w:val="22"/>
              </w:rPr>
            </w:pPr>
            <w:r w:rsidRPr="00403684">
              <w:rPr>
                <w:sz w:val="22"/>
              </w:rPr>
              <w:t xml:space="preserve">                                                    </w:t>
            </w:r>
            <w:r w:rsidR="00ED5468">
              <w:rPr>
                <w:sz w:val="22"/>
              </w:rPr>
              <w:t xml:space="preserve">  </w:t>
            </w:r>
            <w:r w:rsidRPr="00403684">
              <w:rPr>
                <w:sz w:val="22"/>
              </w:rPr>
              <w:t xml:space="preserve"> </w:t>
            </w:r>
            <w:r w:rsidR="00ED5468" w:rsidRPr="00ED5468">
              <w:rPr>
                <w:b/>
                <w:sz w:val="22"/>
              </w:rPr>
              <w:t>Current</w:t>
            </w:r>
            <w:r w:rsidRPr="00ED5468">
              <w:rPr>
                <w:b/>
                <w:sz w:val="22"/>
              </w:rPr>
              <w:t xml:space="preserve"> </w:t>
            </w:r>
            <w:r w:rsidRPr="00403684">
              <w:rPr>
                <w:b/>
                <w:sz w:val="22"/>
              </w:rPr>
              <w:t xml:space="preserve">Quarter             </w:t>
            </w:r>
            <w:r w:rsidR="00ED5468">
              <w:rPr>
                <w:b/>
                <w:sz w:val="22"/>
              </w:rPr>
              <w:t xml:space="preserve"> </w:t>
            </w:r>
            <w:r w:rsidRPr="00403684">
              <w:rPr>
                <w:b/>
                <w:sz w:val="22"/>
              </w:rPr>
              <w:t xml:space="preserve">   Cumulative Quarter</w:t>
            </w:r>
          </w:p>
          <w:p w:rsidR="00EF24A6" w:rsidRPr="00403684" w:rsidRDefault="00EF24A6" w:rsidP="002D40E6">
            <w:pPr>
              <w:jc w:val="both"/>
              <w:rPr>
                <w:sz w:val="22"/>
              </w:rPr>
            </w:pPr>
            <w:r w:rsidRPr="00403684">
              <w:rPr>
                <w:b/>
                <w:sz w:val="22"/>
              </w:rPr>
              <w:t xml:space="preserve">                                                       3 months ended                      </w:t>
            </w:r>
            <w:r w:rsidR="001645FB" w:rsidRPr="00403684">
              <w:rPr>
                <w:b/>
                <w:sz w:val="22"/>
              </w:rPr>
              <w:t xml:space="preserve"> </w:t>
            </w:r>
            <w:r w:rsidR="00EC0D83">
              <w:rPr>
                <w:b/>
                <w:sz w:val="22"/>
              </w:rPr>
              <w:t xml:space="preserve"> 3</w:t>
            </w:r>
            <w:r w:rsidRPr="00403684">
              <w:rPr>
                <w:b/>
                <w:sz w:val="22"/>
              </w:rPr>
              <w:t xml:space="preserve"> months ended</w:t>
            </w:r>
            <w:r w:rsidRPr="00403684">
              <w:rPr>
                <w:sz w:val="22"/>
              </w:rPr>
              <w:t xml:space="preserve"> </w:t>
            </w:r>
          </w:p>
          <w:p w:rsidR="00EF24A6" w:rsidRPr="00403684" w:rsidRDefault="00EF24A6" w:rsidP="002D40E6">
            <w:pPr>
              <w:jc w:val="both"/>
              <w:rPr>
                <w:b/>
                <w:sz w:val="22"/>
              </w:rPr>
            </w:pPr>
            <w:r w:rsidRPr="00403684">
              <w:rPr>
                <w:sz w:val="22"/>
              </w:rPr>
              <w:t xml:space="preserve">                                              </w:t>
            </w:r>
            <w:r w:rsidRPr="00403684">
              <w:rPr>
                <w:b/>
                <w:sz w:val="22"/>
              </w:rPr>
              <w:t>3</w:t>
            </w:r>
            <w:r w:rsidR="008B7B9C">
              <w:rPr>
                <w:b/>
                <w:sz w:val="22"/>
              </w:rPr>
              <w:t>1</w:t>
            </w:r>
            <w:r w:rsidR="00ED5468">
              <w:rPr>
                <w:b/>
                <w:sz w:val="22"/>
              </w:rPr>
              <w:t xml:space="preserve"> </w:t>
            </w:r>
            <w:r w:rsidR="00EC0D83">
              <w:rPr>
                <w:b/>
                <w:sz w:val="22"/>
              </w:rPr>
              <w:t>Mar 2</w:t>
            </w:r>
            <w:r w:rsidR="005112B1">
              <w:rPr>
                <w:b/>
                <w:sz w:val="22"/>
              </w:rPr>
              <w:t>014</w:t>
            </w:r>
            <w:r w:rsidRPr="00403684">
              <w:rPr>
                <w:b/>
                <w:sz w:val="22"/>
              </w:rPr>
              <w:t xml:space="preserve">    3</w:t>
            </w:r>
            <w:r w:rsidR="008B7B9C">
              <w:rPr>
                <w:b/>
                <w:sz w:val="22"/>
              </w:rPr>
              <w:t>1</w:t>
            </w:r>
            <w:r w:rsidR="00ED5468">
              <w:rPr>
                <w:b/>
                <w:sz w:val="22"/>
              </w:rPr>
              <w:t xml:space="preserve"> </w:t>
            </w:r>
            <w:r w:rsidR="005112B1">
              <w:rPr>
                <w:b/>
                <w:sz w:val="22"/>
              </w:rPr>
              <w:t>Mar 2013</w:t>
            </w:r>
            <w:r w:rsidRPr="00403684">
              <w:rPr>
                <w:b/>
                <w:sz w:val="22"/>
              </w:rPr>
              <w:t xml:space="preserve">       3</w:t>
            </w:r>
            <w:r w:rsidR="008B7B9C">
              <w:rPr>
                <w:b/>
                <w:sz w:val="22"/>
              </w:rPr>
              <w:t>1</w:t>
            </w:r>
            <w:r w:rsidR="00ED5468">
              <w:rPr>
                <w:b/>
                <w:sz w:val="22"/>
              </w:rPr>
              <w:t xml:space="preserve"> </w:t>
            </w:r>
            <w:r w:rsidR="005112B1">
              <w:rPr>
                <w:b/>
                <w:sz w:val="22"/>
              </w:rPr>
              <w:t>Mar 2014</w:t>
            </w:r>
            <w:r w:rsidRPr="00403684">
              <w:rPr>
                <w:b/>
                <w:sz w:val="22"/>
              </w:rPr>
              <w:t xml:space="preserve">    3</w:t>
            </w:r>
            <w:r w:rsidR="008B7B9C">
              <w:rPr>
                <w:b/>
                <w:sz w:val="22"/>
              </w:rPr>
              <w:t>1</w:t>
            </w:r>
            <w:r w:rsidR="00ED5468">
              <w:rPr>
                <w:b/>
                <w:sz w:val="22"/>
              </w:rPr>
              <w:t xml:space="preserve"> </w:t>
            </w:r>
            <w:r w:rsidR="005112B1">
              <w:rPr>
                <w:b/>
                <w:sz w:val="22"/>
              </w:rPr>
              <w:t>Mar 2013</w:t>
            </w:r>
          </w:p>
          <w:p w:rsidR="00EF24A6" w:rsidRPr="00403684" w:rsidRDefault="00EF24A6" w:rsidP="002D40E6">
            <w:pPr>
              <w:jc w:val="both"/>
              <w:rPr>
                <w:sz w:val="22"/>
              </w:rPr>
            </w:pPr>
            <w:r w:rsidRPr="00403684">
              <w:rPr>
                <w:b/>
                <w:sz w:val="22"/>
              </w:rPr>
              <w:t xml:space="preserve">                                                  </w:t>
            </w:r>
            <w:r w:rsidRPr="00403684">
              <w:rPr>
                <w:sz w:val="22"/>
              </w:rPr>
              <w:t xml:space="preserve">RM’000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r w:rsidRPr="00403684">
              <w:rPr>
                <w:sz w:val="22"/>
              </w:rPr>
              <w:t xml:space="preserve">           </w:t>
            </w:r>
            <w:proofErr w:type="spellStart"/>
            <w:r w:rsidRPr="00403684">
              <w:rPr>
                <w:sz w:val="22"/>
              </w:rPr>
              <w:t>RM’000</w:t>
            </w:r>
            <w:proofErr w:type="spellEnd"/>
          </w:p>
          <w:p w:rsidR="00EF24A6" w:rsidRPr="00403684" w:rsidRDefault="00EF24A6" w:rsidP="002D40E6">
            <w:pPr>
              <w:jc w:val="both"/>
              <w:rPr>
                <w:sz w:val="22"/>
              </w:rPr>
            </w:pPr>
            <w:r w:rsidRPr="00403684">
              <w:rPr>
                <w:sz w:val="22"/>
              </w:rPr>
              <w:t>Rental paid to Holding Co</w:t>
            </w:r>
          </w:p>
          <w:p w:rsidR="00EF24A6" w:rsidRPr="00403684" w:rsidRDefault="00EF24A6" w:rsidP="002D40E6">
            <w:pPr>
              <w:jc w:val="both"/>
              <w:rPr>
                <w:sz w:val="22"/>
              </w:rPr>
            </w:pPr>
            <w:r w:rsidRPr="00403684">
              <w:rPr>
                <w:sz w:val="22"/>
              </w:rPr>
              <w:t>-</w:t>
            </w:r>
            <w:proofErr w:type="spellStart"/>
            <w:r w:rsidRPr="00403684">
              <w:rPr>
                <w:sz w:val="22"/>
              </w:rPr>
              <w:t>Lysaght</w:t>
            </w:r>
            <w:proofErr w:type="spellEnd"/>
            <w:r w:rsidR="002E7126">
              <w:rPr>
                <w:sz w:val="22"/>
              </w:rPr>
              <w:t xml:space="preserve"> (Malaysia) </w:t>
            </w:r>
            <w:proofErr w:type="spellStart"/>
            <w:r w:rsidR="002E7126">
              <w:rPr>
                <w:sz w:val="22"/>
              </w:rPr>
              <w:t>Sdn</w:t>
            </w:r>
            <w:proofErr w:type="spellEnd"/>
            <w:r w:rsidR="002E7126">
              <w:rPr>
                <w:sz w:val="22"/>
              </w:rPr>
              <w:t xml:space="preserve"> </w:t>
            </w:r>
            <w:proofErr w:type="spellStart"/>
            <w:r w:rsidR="002E7126">
              <w:rPr>
                <w:sz w:val="22"/>
              </w:rPr>
              <w:t>Bhd</w:t>
            </w:r>
            <w:proofErr w:type="spellEnd"/>
            <w:r w:rsidR="002E7126">
              <w:rPr>
                <w:sz w:val="22"/>
              </w:rPr>
              <w:t xml:space="preserve">           - </w:t>
            </w:r>
            <w:r w:rsidRPr="00403684">
              <w:rPr>
                <w:sz w:val="22"/>
              </w:rPr>
              <w:t xml:space="preserve">                   102                    </w:t>
            </w:r>
            <w:r w:rsidR="002E7126">
              <w:rPr>
                <w:sz w:val="22"/>
              </w:rPr>
              <w:t xml:space="preserve"> - </w:t>
            </w:r>
            <w:r w:rsidRPr="00403684">
              <w:rPr>
                <w:sz w:val="22"/>
              </w:rPr>
              <w:t xml:space="preserve">                  </w:t>
            </w:r>
            <w:r w:rsidR="009875C8">
              <w:rPr>
                <w:sz w:val="22"/>
              </w:rPr>
              <w:t>102</w:t>
            </w:r>
          </w:p>
          <w:p w:rsidR="00EF24A6" w:rsidRPr="00403684" w:rsidRDefault="00EF24A6" w:rsidP="002D40E6">
            <w:pPr>
              <w:jc w:val="both"/>
              <w:rPr>
                <w:sz w:val="22"/>
              </w:rPr>
            </w:pPr>
          </w:p>
          <w:p w:rsidR="00EF24A6" w:rsidRPr="00403684" w:rsidRDefault="00EF24A6" w:rsidP="002D40E6">
            <w:pPr>
              <w:jc w:val="both"/>
              <w:rPr>
                <w:sz w:val="22"/>
              </w:rPr>
            </w:pPr>
          </w:p>
          <w:p w:rsidR="009875C8" w:rsidRDefault="00EF24A6" w:rsidP="002D40E6">
            <w:pPr>
              <w:jc w:val="both"/>
              <w:rPr>
                <w:sz w:val="22"/>
              </w:rPr>
            </w:pPr>
            <w:r w:rsidRPr="00403684">
              <w:rPr>
                <w:sz w:val="22"/>
              </w:rPr>
              <w:t>The</w:t>
            </w:r>
            <w:r w:rsidR="00372D35">
              <w:rPr>
                <w:sz w:val="22"/>
              </w:rPr>
              <w:t xml:space="preserve">re was no related party </w:t>
            </w:r>
            <w:r w:rsidR="00136CC8">
              <w:rPr>
                <w:sz w:val="22"/>
              </w:rPr>
              <w:t>transaction</w:t>
            </w:r>
            <w:r w:rsidRPr="00403684">
              <w:rPr>
                <w:sz w:val="22"/>
              </w:rPr>
              <w:t xml:space="preserve"> </w:t>
            </w:r>
            <w:r w:rsidR="00372D35">
              <w:rPr>
                <w:sz w:val="22"/>
              </w:rPr>
              <w:t>in this quarter.</w:t>
            </w:r>
          </w:p>
          <w:p w:rsidR="00EF24A6" w:rsidRPr="00403684" w:rsidRDefault="00EF24A6" w:rsidP="002D40E6">
            <w:pPr>
              <w:jc w:val="both"/>
              <w:rPr>
                <w:sz w:val="22"/>
              </w:rPr>
            </w:pPr>
          </w:p>
        </w:tc>
      </w:tr>
      <w:tr w:rsidR="00EF24A6" w:rsidTr="00282096">
        <w:trPr>
          <w:cantSplit/>
        </w:trPr>
        <w:tc>
          <w:tcPr>
            <w:tcW w:w="525" w:type="dxa"/>
            <w:gridSpan w:val="2"/>
          </w:tcPr>
          <w:p w:rsidR="00EF24A6" w:rsidRDefault="00EF24A6" w:rsidP="002D40E6">
            <w:pPr>
              <w:jc w:val="right"/>
              <w:rPr>
                <w:sz w:val="22"/>
              </w:rPr>
            </w:pPr>
            <w:r>
              <w:rPr>
                <w:sz w:val="22"/>
              </w:rPr>
              <w:t>1</w:t>
            </w:r>
            <w:r w:rsidR="00545CCD">
              <w:rPr>
                <w:sz w:val="22"/>
              </w:rPr>
              <w:t>4</w:t>
            </w:r>
            <w:r>
              <w:rPr>
                <w:sz w:val="22"/>
              </w:rPr>
              <w:t>.</w:t>
            </w:r>
          </w:p>
        </w:tc>
        <w:tc>
          <w:tcPr>
            <w:tcW w:w="8849" w:type="dxa"/>
            <w:gridSpan w:val="8"/>
          </w:tcPr>
          <w:p w:rsidR="00EF24A6" w:rsidRDefault="00EF24A6" w:rsidP="002D40E6">
            <w:pPr>
              <w:jc w:val="both"/>
              <w:rPr>
                <w:sz w:val="22"/>
              </w:rPr>
            </w:pPr>
            <w:r>
              <w:rPr>
                <w:sz w:val="22"/>
              </w:rPr>
              <w:t>Capital Commitments</w:t>
            </w:r>
          </w:p>
        </w:tc>
      </w:tr>
      <w:tr w:rsidR="00EF24A6" w:rsidTr="00282096">
        <w:trPr>
          <w:cantSplit/>
          <w:trHeight w:val="369"/>
        </w:trPr>
        <w:tc>
          <w:tcPr>
            <w:tcW w:w="525" w:type="dxa"/>
            <w:gridSpan w:val="2"/>
          </w:tcPr>
          <w:p w:rsidR="00EF24A6" w:rsidRDefault="00EF24A6" w:rsidP="002D40E6">
            <w:pPr>
              <w:jc w:val="right"/>
              <w:rPr>
                <w:sz w:val="22"/>
              </w:rPr>
            </w:pPr>
          </w:p>
        </w:tc>
        <w:tc>
          <w:tcPr>
            <w:tcW w:w="8849" w:type="dxa"/>
            <w:gridSpan w:val="8"/>
          </w:tcPr>
          <w:p w:rsidR="00EF24A6" w:rsidRDefault="00EF24A6" w:rsidP="002D40E6">
            <w:pPr>
              <w:jc w:val="both"/>
              <w:rPr>
                <w:sz w:val="22"/>
              </w:rPr>
            </w:pPr>
            <w:r>
              <w:rPr>
                <w:sz w:val="22"/>
              </w:rPr>
              <w:t>There were no capital commitments at the date of issue of this quarterly report.</w:t>
            </w:r>
          </w:p>
        </w:tc>
      </w:tr>
      <w:tr w:rsidR="00EF24A6" w:rsidTr="00282096">
        <w:trPr>
          <w:cantSplit/>
        </w:trPr>
        <w:tc>
          <w:tcPr>
            <w:tcW w:w="525" w:type="dxa"/>
            <w:gridSpan w:val="2"/>
          </w:tcPr>
          <w:p w:rsidR="00EF24A6" w:rsidRDefault="00EF24A6" w:rsidP="00475337">
            <w:pPr>
              <w:rPr>
                <w:sz w:val="22"/>
              </w:rPr>
            </w:pPr>
          </w:p>
        </w:tc>
        <w:tc>
          <w:tcPr>
            <w:tcW w:w="8849" w:type="dxa"/>
            <w:gridSpan w:val="8"/>
          </w:tcPr>
          <w:p w:rsidR="00EF24A6" w:rsidRDefault="00EF24A6" w:rsidP="002D40E6">
            <w:pPr>
              <w:rPr>
                <w:sz w:val="22"/>
              </w:rPr>
            </w:pPr>
          </w:p>
          <w:p w:rsidR="00372D35" w:rsidRDefault="00372D35" w:rsidP="002D40E6">
            <w:pPr>
              <w:rPr>
                <w:sz w:val="22"/>
              </w:rPr>
            </w:pPr>
          </w:p>
          <w:p w:rsidR="00372D35" w:rsidRDefault="00372D35" w:rsidP="002D40E6">
            <w:pPr>
              <w:rPr>
                <w:sz w:val="22"/>
              </w:rPr>
            </w:pPr>
          </w:p>
        </w:tc>
      </w:tr>
      <w:tr w:rsidR="00EF24A6" w:rsidTr="00282096">
        <w:trPr>
          <w:cantSplit/>
        </w:trPr>
        <w:tc>
          <w:tcPr>
            <w:tcW w:w="525" w:type="dxa"/>
            <w:gridSpan w:val="2"/>
          </w:tcPr>
          <w:p w:rsidR="00EF24A6" w:rsidRDefault="00EF24A6" w:rsidP="00475337">
            <w:pPr>
              <w:jc w:val="center"/>
              <w:rPr>
                <w:sz w:val="22"/>
              </w:rPr>
            </w:pPr>
            <w:r>
              <w:rPr>
                <w:sz w:val="22"/>
              </w:rPr>
              <w:lastRenderedPageBreak/>
              <w:t>1</w:t>
            </w:r>
            <w:r w:rsidR="00545CCD">
              <w:rPr>
                <w:sz w:val="22"/>
              </w:rPr>
              <w:t>5</w:t>
            </w:r>
            <w:r>
              <w:rPr>
                <w:sz w:val="22"/>
              </w:rPr>
              <w:t>.</w:t>
            </w:r>
          </w:p>
        </w:tc>
        <w:tc>
          <w:tcPr>
            <w:tcW w:w="8849" w:type="dxa"/>
            <w:gridSpan w:val="8"/>
          </w:tcPr>
          <w:p w:rsidR="00EF24A6" w:rsidRDefault="00EF24A6" w:rsidP="002D40E6">
            <w:pPr>
              <w:jc w:val="both"/>
              <w:rPr>
                <w:sz w:val="22"/>
              </w:rPr>
            </w:pPr>
            <w:r>
              <w:rPr>
                <w:sz w:val="22"/>
              </w:rPr>
              <w:t>Subsequent Event</w:t>
            </w:r>
          </w:p>
        </w:tc>
      </w:tr>
      <w:tr w:rsidR="00EF24A6" w:rsidTr="00282096">
        <w:trPr>
          <w:cantSplit/>
        </w:trPr>
        <w:tc>
          <w:tcPr>
            <w:tcW w:w="525" w:type="dxa"/>
            <w:gridSpan w:val="2"/>
          </w:tcPr>
          <w:p w:rsidR="00EF24A6" w:rsidRDefault="00EF24A6" w:rsidP="002D40E6">
            <w:pPr>
              <w:jc w:val="right"/>
              <w:rPr>
                <w:sz w:val="22"/>
              </w:rPr>
            </w:pPr>
          </w:p>
        </w:tc>
        <w:tc>
          <w:tcPr>
            <w:tcW w:w="8849" w:type="dxa"/>
            <w:gridSpan w:val="8"/>
          </w:tcPr>
          <w:p w:rsidR="00EF24A6" w:rsidRDefault="00136CC8" w:rsidP="002D40E6">
            <w:pPr>
              <w:jc w:val="both"/>
              <w:rPr>
                <w:sz w:val="22"/>
              </w:rPr>
            </w:pPr>
            <w:r>
              <w:rPr>
                <w:sz w:val="22"/>
              </w:rPr>
              <w:t xml:space="preserve">There were no </w:t>
            </w:r>
            <w:proofErr w:type="gramStart"/>
            <w:r>
              <w:rPr>
                <w:sz w:val="22"/>
              </w:rPr>
              <w:t>material</w:t>
            </w:r>
            <w:proofErr w:type="gramEnd"/>
            <w:r>
              <w:rPr>
                <w:sz w:val="22"/>
              </w:rPr>
              <w:t xml:space="preserve"> events</w:t>
            </w:r>
            <w:r w:rsidR="00EF24A6">
              <w:rPr>
                <w:sz w:val="22"/>
              </w:rPr>
              <w:t xml:space="preserve"> subsequent to the end of the </w:t>
            </w:r>
            <w:r w:rsidR="006D5EA7">
              <w:rPr>
                <w:sz w:val="22"/>
              </w:rPr>
              <w:t xml:space="preserve">financial </w:t>
            </w:r>
            <w:r w:rsidR="00EC0D83">
              <w:rPr>
                <w:sz w:val="22"/>
              </w:rPr>
              <w:t>period</w:t>
            </w:r>
            <w:r w:rsidR="006D5EA7">
              <w:rPr>
                <w:sz w:val="22"/>
              </w:rPr>
              <w:t xml:space="preserve"> ended 31 </w:t>
            </w:r>
            <w:r w:rsidR="00EC0D83">
              <w:rPr>
                <w:sz w:val="22"/>
              </w:rPr>
              <w:t xml:space="preserve">March </w:t>
            </w:r>
            <w:r w:rsidR="006D5EA7">
              <w:rPr>
                <w:sz w:val="22"/>
              </w:rPr>
              <w:t>201</w:t>
            </w:r>
            <w:r w:rsidR="002E7126">
              <w:rPr>
                <w:sz w:val="22"/>
              </w:rPr>
              <w:t>4</w:t>
            </w:r>
            <w:r w:rsidR="00EF24A6">
              <w:rPr>
                <w:sz w:val="22"/>
              </w:rPr>
              <w:t xml:space="preserve"> that have not been reflected in the financial statements for the </w:t>
            </w:r>
            <w:r w:rsidR="006D5EA7">
              <w:rPr>
                <w:sz w:val="22"/>
              </w:rPr>
              <w:t xml:space="preserve">financial </w:t>
            </w:r>
            <w:r w:rsidR="00D2771E">
              <w:rPr>
                <w:sz w:val="22"/>
              </w:rPr>
              <w:t>period</w:t>
            </w:r>
            <w:r w:rsidR="006D5EA7">
              <w:rPr>
                <w:sz w:val="22"/>
              </w:rPr>
              <w:t xml:space="preserve"> </w:t>
            </w:r>
            <w:r w:rsidR="00EF24A6">
              <w:rPr>
                <w:sz w:val="22"/>
              </w:rPr>
              <w:t>ended 3</w:t>
            </w:r>
            <w:r w:rsidR="006D5EA7">
              <w:rPr>
                <w:sz w:val="22"/>
              </w:rPr>
              <w:t xml:space="preserve">1 </w:t>
            </w:r>
            <w:r w:rsidR="002E7126">
              <w:rPr>
                <w:sz w:val="22"/>
              </w:rPr>
              <w:t>March 2014</w:t>
            </w:r>
            <w:r w:rsidR="00EF24A6">
              <w:rPr>
                <w:sz w:val="22"/>
              </w:rPr>
              <w:t>.</w:t>
            </w:r>
          </w:p>
          <w:p w:rsidR="00FE4DD9" w:rsidRDefault="00FE4DD9" w:rsidP="002D40E6">
            <w:pPr>
              <w:jc w:val="both"/>
              <w:rPr>
                <w:sz w:val="22"/>
              </w:rPr>
            </w:pPr>
          </w:p>
        </w:tc>
      </w:tr>
      <w:tr w:rsidR="00FE4DD9" w:rsidTr="00FE4DD9">
        <w:trPr>
          <w:gridBefore w:val="1"/>
          <w:wBefore w:w="13" w:type="dxa"/>
          <w:cantSplit/>
        </w:trPr>
        <w:tc>
          <w:tcPr>
            <w:tcW w:w="512" w:type="dxa"/>
          </w:tcPr>
          <w:p w:rsidR="00FE4DD9" w:rsidRPr="00FE4DD9" w:rsidRDefault="00FE4DD9" w:rsidP="002D40E6">
            <w:pPr>
              <w:rPr>
                <w:sz w:val="22"/>
                <w:szCs w:val="22"/>
              </w:rPr>
            </w:pPr>
            <w:r>
              <w:rPr>
                <w:sz w:val="22"/>
                <w:szCs w:val="22"/>
              </w:rPr>
              <w:t xml:space="preserve">   </w:t>
            </w:r>
            <w:r w:rsidRPr="00FE4DD9">
              <w:rPr>
                <w:sz w:val="22"/>
                <w:szCs w:val="22"/>
              </w:rPr>
              <w:t>1</w:t>
            </w:r>
            <w:r w:rsidR="00545CCD">
              <w:rPr>
                <w:sz w:val="22"/>
                <w:szCs w:val="22"/>
              </w:rPr>
              <w:t>6</w:t>
            </w:r>
            <w:r w:rsidRPr="00FE4DD9">
              <w:rPr>
                <w:sz w:val="22"/>
                <w:szCs w:val="22"/>
              </w:rPr>
              <w:t>.</w:t>
            </w:r>
          </w:p>
        </w:tc>
        <w:tc>
          <w:tcPr>
            <w:tcW w:w="8849" w:type="dxa"/>
            <w:gridSpan w:val="8"/>
          </w:tcPr>
          <w:p w:rsidR="00FE4DD9" w:rsidRPr="00FE4DD9" w:rsidRDefault="00FE4DD9" w:rsidP="002D40E6">
            <w:pPr>
              <w:rPr>
                <w:sz w:val="22"/>
                <w:szCs w:val="22"/>
              </w:rPr>
            </w:pPr>
            <w:r w:rsidRPr="00FE4DD9">
              <w:rPr>
                <w:sz w:val="22"/>
                <w:szCs w:val="22"/>
              </w:rPr>
              <w:t>Carrying Amount of Revalued Assets</w:t>
            </w:r>
          </w:p>
        </w:tc>
      </w:tr>
      <w:tr w:rsidR="00FE4DD9" w:rsidTr="00FE4DD9">
        <w:trPr>
          <w:gridBefore w:val="1"/>
          <w:wBefore w:w="13" w:type="dxa"/>
          <w:cantSplit/>
        </w:trPr>
        <w:tc>
          <w:tcPr>
            <w:tcW w:w="512" w:type="dxa"/>
          </w:tcPr>
          <w:p w:rsidR="00FE4DD9" w:rsidRPr="00FE4DD9" w:rsidRDefault="00FE4DD9" w:rsidP="002D40E6">
            <w:pPr>
              <w:rPr>
                <w:sz w:val="22"/>
                <w:szCs w:val="22"/>
              </w:rPr>
            </w:pPr>
          </w:p>
        </w:tc>
        <w:tc>
          <w:tcPr>
            <w:tcW w:w="8849" w:type="dxa"/>
            <w:gridSpan w:val="8"/>
          </w:tcPr>
          <w:p w:rsidR="00FE4DD9" w:rsidRDefault="00FE4DD9" w:rsidP="002D40E6">
            <w:pPr>
              <w:rPr>
                <w:sz w:val="22"/>
                <w:szCs w:val="22"/>
              </w:rPr>
            </w:pPr>
            <w:r w:rsidRPr="00FE4DD9">
              <w:rPr>
                <w:sz w:val="22"/>
                <w:szCs w:val="22"/>
              </w:rPr>
              <w:t>There were no valuations of property, plant and equipment during the period. Valuations of property, plant and equipment have been brought forward, without amendment from the previous annual financial statements.</w:t>
            </w:r>
          </w:p>
          <w:p w:rsidR="00E14C1E" w:rsidRPr="00FE4DD9" w:rsidRDefault="00E14C1E" w:rsidP="00E14C1E">
            <w:pPr>
              <w:pStyle w:val="NoSpacing"/>
            </w:pPr>
          </w:p>
        </w:tc>
      </w:tr>
      <w:tr w:rsidR="00FE4DD9" w:rsidTr="00282096">
        <w:trPr>
          <w:cantSplit/>
        </w:trPr>
        <w:tc>
          <w:tcPr>
            <w:tcW w:w="525" w:type="dxa"/>
            <w:gridSpan w:val="2"/>
          </w:tcPr>
          <w:p w:rsidR="00FE4DD9" w:rsidRPr="00FE4DD9" w:rsidRDefault="00FE4DD9" w:rsidP="004D444B">
            <w:pPr>
              <w:rPr>
                <w:sz w:val="22"/>
                <w:szCs w:val="22"/>
              </w:rPr>
            </w:pPr>
            <w:r w:rsidRPr="00FE4DD9">
              <w:rPr>
                <w:sz w:val="22"/>
                <w:szCs w:val="22"/>
              </w:rPr>
              <w:t xml:space="preserve">   1</w:t>
            </w:r>
            <w:r w:rsidR="00545CCD">
              <w:rPr>
                <w:sz w:val="22"/>
                <w:szCs w:val="22"/>
              </w:rPr>
              <w:t>7</w:t>
            </w:r>
            <w:r w:rsidRPr="00FE4DD9">
              <w:rPr>
                <w:sz w:val="22"/>
                <w:szCs w:val="22"/>
              </w:rPr>
              <w:t>.</w:t>
            </w:r>
          </w:p>
        </w:tc>
        <w:tc>
          <w:tcPr>
            <w:tcW w:w="8849" w:type="dxa"/>
            <w:gridSpan w:val="8"/>
          </w:tcPr>
          <w:p w:rsidR="00FE4DD9" w:rsidRPr="00FE4DD9" w:rsidRDefault="00FE4DD9" w:rsidP="002D40E6">
            <w:pPr>
              <w:rPr>
                <w:sz w:val="22"/>
                <w:szCs w:val="22"/>
              </w:rPr>
            </w:pPr>
            <w:r w:rsidRPr="00FE4DD9">
              <w:rPr>
                <w:sz w:val="22"/>
                <w:szCs w:val="22"/>
              </w:rPr>
              <w:t>Derivatives</w:t>
            </w:r>
          </w:p>
        </w:tc>
      </w:tr>
      <w:tr w:rsidR="00FE4DD9" w:rsidTr="00282096">
        <w:trPr>
          <w:cantSplit/>
        </w:trPr>
        <w:tc>
          <w:tcPr>
            <w:tcW w:w="525" w:type="dxa"/>
            <w:gridSpan w:val="2"/>
          </w:tcPr>
          <w:p w:rsidR="00FE4DD9" w:rsidRPr="00FE4DD9" w:rsidRDefault="00FE4DD9" w:rsidP="002D40E6">
            <w:pPr>
              <w:rPr>
                <w:sz w:val="22"/>
                <w:szCs w:val="22"/>
              </w:rPr>
            </w:pPr>
            <w:r>
              <w:rPr>
                <w:sz w:val="22"/>
                <w:szCs w:val="22"/>
              </w:rPr>
              <w:t xml:space="preserve">     a)</w:t>
            </w:r>
          </w:p>
        </w:tc>
        <w:tc>
          <w:tcPr>
            <w:tcW w:w="8849" w:type="dxa"/>
            <w:gridSpan w:val="8"/>
          </w:tcPr>
          <w:p w:rsidR="00BC7081" w:rsidRDefault="00FE4DD9" w:rsidP="00BC7081">
            <w:pPr>
              <w:jc w:val="both"/>
              <w:rPr>
                <w:sz w:val="22"/>
              </w:rPr>
            </w:pPr>
            <w:r w:rsidRPr="00706D98">
              <w:rPr>
                <w:sz w:val="22"/>
              </w:rPr>
              <w:t xml:space="preserve">There were no outstanding derivatives (including financial instruments designated as hedging instruments) as at the end of the </w:t>
            </w:r>
            <w:r w:rsidR="006D5EA7">
              <w:rPr>
                <w:sz w:val="22"/>
              </w:rPr>
              <w:t>fi</w:t>
            </w:r>
            <w:r>
              <w:rPr>
                <w:sz w:val="22"/>
              </w:rPr>
              <w:t xml:space="preserve">nancial </w:t>
            </w:r>
            <w:r w:rsidR="00D2771E">
              <w:rPr>
                <w:sz w:val="22"/>
              </w:rPr>
              <w:t xml:space="preserve">period </w:t>
            </w:r>
            <w:r>
              <w:rPr>
                <w:sz w:val="22"/>
              </w:rPr>
              <w:t>e</w:t>
            </w:r>
            <w:r w:rsidRPr="00706D98">
              <w:rPr>
                <w:sz w:val="22"/>
              </w:rPr>
              <w:t>nded 3</w:t>
            </w:r>
            <w:r w:rsidR="006D5EA7">
              <w:rPr>
                <w:sz w:val="22"/>
              </w:rPr>
              <w:t xml:space="preserve">1 </w:t>
            </w:r>
            <w:r w:rsidR="00D2771E">
              <w:rPr>
                <w:sz w:val="22"/>
              </w:rPr>
              <w:t>March 201</w:t>
            </w:r>
            <w:r w:rsidR="00653C39">
              <w:rPr>
                <w:sz w:val="22"/>
              </w:rPr>
              <w:t>4</w:t>
            </w:r>
            <w:r w:rsidRPr="00706D98">
              <w:rPr>
                <w:sz w:val="22"/>
              </w:rPr>
              <w:t>: and</w:t>
            </w:r>
          </w:p>
          <w:p w:rsidR="001645FB" w:rsidRPr="00BC7081" w:rsidRDefault="001645FB" w:rsidP="00BC7081">
            <w:pPr>
              <w:jc w:val="both"/>
              <w:rPr>
                <w:sz w:val="22"/>
              </w:rPr>
            </w:pPr>
          </w:p>
        </w:tc>
      </w:tr>
      <w:tr w:rsidR="00FE4DD9" w:rsidTr="00282096">
        <w:trPr>
          <w:cantSplit/>
        </w:trPr>
        <w:tc>
          <w:tcPr>
            <w:tcW w:w="525" w:type="dxa"/>
            <w:gridSpan w:val="2"/>
          </w:tcPr>
          <w:p w:rsidR="00FE4DD9" w:rsidRDefault="00FE4DD9" w:rsidP="00282096">
            <w:pPr>
              <w:jc w:val="right"/>
              <w:rPr>
                <w:sz w:val="22"/>
              </w:rPr>
            </w:pPr>
            <w:r>
              <w:rPr>
                <w:sz w:val="22"/>
              </w:rPr>
              <w:t>b)</w:t>
            </w:r>
          </w:p>
        </w:tc>
        <w:tc>
          <w:tcPr>
            <w:tcW w:w="8849" w:type="dxa"/>
            <w:gridSpan w:val="8"/>
          </w:tcPr>
          <w:p w:rsidR="00FE4DD9" w:rsidRPr="00706D98" w:rsidRDefault="00FE4DD9" w:rsidP="00FE4DD9">
            <w:pPr>
              <w:jc w:val="both"/>
              <w:rPr>
                <w:sz w:val="22"/>
              </w:rPr>
            </w:pPr>
            <w:r w:rsidRPr="00706D98">
              <w:rPr>
                <w:sz w:val="22"/>
              </w:rPr>
              <w:t>The Group has not entered into any type of derivatives not disclosed in the previous financial year</w:t>
            </w:r>
            <w:r w:rsidR="008008C6">
              <w:rPr>
                <w:sz w:val="22"/>
              </w:rPr>
              <w:t>.</w:t>
            </w:r>
          </w:p>
          <w:p w:rsidR="00FE4DD9" w:rsidRDefault="00FE4DD9" w:rsidP="00282096">
            <w:pPr>
              <w:jc w:val="both"/>
              <w:rPr>
                <w:sz w:val="22"/>
              </w:rPr>
            </w:pPr>
          </w:p>
        </w:tc>
      </w:tr>
      <w:tr w:rsidR="00064532" w:rsidTr="00282096">
        <w:trPr>
          <w:cantSplit/>
        </w:trPr>
        <w:tc>
          <w:tcPr>
            <w:tcW w:w="525" w:type="dxa"/>
            <w:gridSpan w:val="2"/>
          </w:tcPr>
          <w:p w:rsidR="00064532" w:rsidRPr="00064532" w:rsidRDefault="008008C6" w:rsidP="002D40E6">
            <w:pPr>
              <w:rPr>
                <w:sz w:val="22"/>
                <w:szCs w:val="22"/>
              </w:rPr>
            </w:pPr>
            <w:r>
              <w:rPr>
                <w:sz w:val="22"/>
                <w:szCs w:val="22"/>
              </w:rPr>
              <w:t>.</w:t>
            </w:r>
            <w:r w:rsidR="00064532" w:rsidRPr="00064532">
              <w:rPr>
                <w:sz w:val="22"/>
                <w:szCs w:val="22"/>
              </w:rPr>
              <w:t xml:space="preserve">   1</w:t>
            </w:r>
            <w:r w:rsidR="00545CCD">
              <w:rPr>
                <w:sz w:val="22"/>
                <w:szCs w:val="22"/>
              </w:rPr>
              <w:t>8</w:t>
            </w:r>
            <w:r w:rsidR="00064532" w:rsidRPr="00064532">
              <w:rPr>
                <w:sz w:val="22"/>
                <w:szCs w:val="22"/>
              </w:rPr>
              <w:t>.</w:t>
            </w:r>
          </w:p>
        </w:tc>
        <w:tc>
          <w:tcPr>
            <w:tcW w:w="8849" w:type="dxa"/>
            <w:gridSpan w:val="8"/>
          </w:tcPr>
          <w:p w:rsidR="00064532" w:rsidRDefault="00064532" w:rsidP="002D40E6">
            <w:pPr>
              <w:rPr>
                <w:sz w:val="22"/>
                <w:szCs w:val="22"/>
              </w:rPr>
            </w:pPr>
            <w:r w:rsidRPr="00064532">
              <w:rPr>
                <w:sz w:val="22"/>
                <w:szCs w:val="22"/>
              </w:rPr>
              <w:t>Changes in Contingent Liabilities and Contingent Assets</w:t>
            </w:r>
          </w:p>
          <w:p w:rsidR="00403684" w:rsidRDefault="00064532" w:rsidP="002D40E6">
            <w:pPr>
              <w:rPr>
                <w:sz w:val="22"/>
                <w:szCs w:val="22"/>
              </w:rPr>
            </w:pPr>
            <w:r w:rsidRPr="00064532">
              <w:rPr>
                <w:sz w:val="22"/>
                <w:szCs w:val="22"/>
              </w:rPr>
              <w:t>There were no changes in contingent liabilities or contingent assets since the last annual balance sheet date.</w:t>
            </w:r>
          </w:p>
          <w:p w:rsidR="00064532" w:rsidRPr="00064532" w:rsidRDefault="00064532" w:rsidP="002D40E6">
            <w:pPr>
              <w:rPr>
                <w:sz w:val="22"/>
                <w:szCs w:val="22"/>
              </w:rPr>
            </w:pPr>
          </w:p>
        </w:tc>
      </w:tr>
      <w:tr w:rsidR="00EF24A6" w:rsidTr="00282096">
        <w:trPr>
          <w:cantSplit/>
        </w:trPr>
        <w:tc>
          <w:tcPr>
            <w:tcW w:w="525" w:type="dxa"/>
            <w:gridSpan w:val="2"/>
          </w:tcPr>
          <w:p w:rsidR="00EF24A6" w:rsidRDefault="00545CCD" w:rsidP="00282096">
            <w:pPr>
              <w:jc w:val="right"/>
              <w:rPr>
                <w:sz w:val="22"/>
              </w:rPr>
            </w:pPr>
            <w:r>
              <w:rPr>
                <w:sz w:val="22"/>
              </w:rPr>
              <w:t>19</w:t>
            </w:r>
            <w:r w:rsidR="00EF24A6">
              <w:rPr>
                <w:sz w:val="22"/>
              </w:rPr>
              <w:t>.</w:t>
            </w:r>
          </w:p>
        </w:tc>
        <w:tc>
          <w:tcPr>
            <w:tcW w:w="8849" w:type="dxa"/>
            <w:gridSpan w:val="8"/>
          </w:tcPr>
          <w:p w:rsidR="00EF24A6" w:rsidRDefault="00EF24A6" w:rsidP="00282096">
            <w:pPr>
              <w:jc w:val="both"/>
              <w:rPr>
                <w:sz w:val="22"/>
              </w:rPr>
            </w:pPr>
            <w:r>
              <w:rPr>
                <w:sz w:val="22"/>
              </w:rPr>
              <w:t>Changes in Composition of the Group</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545CCD" w:rsidRDefault="00EF24A6" w:rsidP="00D2771E">
            <w:pPr>
              <w:jc w:val="both"/>
              <w:rPr>
                <w:sz w:val="22"/>
              </w:rPr>
            </w:pPr>
            <w:r>
              <w:rPr>
                <w:sz w:val="22"/>
              </w:rPr>
              <w:t xml:space="preserve">There were no changes in the composition of the Group during the </w:t>
            </w:r>
            <w:r w:rsidR="006D5EA7">
              <w:rPr>
                <w:sz w:val="22"/>
              </w:rPr>
              <w:t xml:space="preserve">financial </w:t>
            </w:r>
            <w:r w:rsidR="00D2771E">
              <w:rPr>
                <w:sz w:val="22"/>
              </w:rPr>
              <w:t>period</w:t>
            </w:r>
            <w:r w:rsidR="006D5EA7">
              <w:rPr>
                <w:sz w:val="22"/>
              </w:rPr>
              <w:t xml:space="preserve"> ended 31 </w:t>
            </w:r>
            <w:r w:rsidR="00653C39">
              <w:rPr>
                <w:sz w:val="22"/>
              </w:rPr>
              <w:t>March 2014</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rPr>
          <w:cantSplit/>
        </w:trPr>
        <w:tc>
          <w:tcPr>
            <w:tcW w:w="525" w:type="dxa"/>
            <w:gridSpan w:val="2"/>
          </w:tcPr>
          <w:p w:rsidR="00EF24A6" w:rsidRPr="00132561" w:rsidRDefault="00C41E6B" w:rsidP="00044C46">
            <w:pPr>
              <w:jc w:val="right"/>
              <w:rPr>
                <w:sz w:val="22"/>
              </w:rPr>
            </w:pPr>
            <w:r>
              <w:rPr>
                <w:sz w:val="22"/>
              </w:rPr>
              <w:t>2</w:t>
            </w:r>
            <w:r w:rsidR="00545CCD">
              <w:rPr>
                <w:sz w:val="22"/>
              </w:rPr>
              <w:t>0</w:t>
            </w:r>
            <w:r w:rsidR="00EF24A6" w:rsidRPr="00132561">
              <w:rPr>
                <w:sz w:val="22"/>
              </w:rPr>
              <w:t>.</w:t>
            </w:r>
          </w:p>
        </w:tc>
        <w:tc>
          <w:tcPr>
            <w:tcW w:w="8849" w:type="dxa"/>
            <w:gridSpan w:val="8"/>
          </w:tcPr>
          <w:p w:rsidR="00EF24A6" w:rsidRPr="00132561" w:rsidRDefault="000C52F9" w:rsidP="00282096">
            <w:pPr>
              <w:jc w:val="both"/>
              <w:rPr>
                <w:sz w:val="22"/>
              </w:rPr>
            </w:pPr>
            <w:r w:rsidRPr="00132561">
              <w:rPr>
                <w:sz w:val="22"/>
              </w:rPr>
              <w:t>Operating Segment</w:t>
            </w:r>
            <w:r w:rsidR="00EF24A6" w:rsidRPr="00132561">
              <w:rPr>
                <w:sz w:val="22"/>
              </w:rPr>
              <w:t xml:space="preserve"> Review</w:t>
            </w:r>
          </w:p>
          <w:p w:rsidR="000C52F9" w:rsidRPr="00132561" w:rsidRDefault="000C52F9" w:rsidP="00282096">
            <w:pPr>
              <w:jc w:val="both"/>
              <w:rPr>
                <w:sz w:val="22"/>
              </w:rPr>
            </w:pPr>
          </w:p>
        </w:tc>
      </w:tr>
      <w:tr w:rsidR="00DD4B94" w:rsidTr="00282096">
        <w:trPr>
          <w:cantSplit/>
        </w:trPr>
        <w:tc>
          <w:tcPr>
            <w:tcW w:w="525" w:type="dxa"/>
            <w:gridSpan w:val="2"/>
          </w:tcPr>
          <w:p w:rsidR="00DD4B94" w:rsidRPr="00132561" w:rsidRDefault="00DD4B94" w:rsidP="00DD4B94">
            <w:pPr>
              <w:pStyle w:val="ListParagraph"/>
              <w:numPr>
                <w:ilvl w:val="0"/>
                <w:numId w:val="2"/>
              </w:numPr>
              <w:rPr>
                <w:sz w:val="22"/>
              </w:rPr>
            </w:pPr>
          </w:p>
        </w:tc>
        <w:tc>
          <w:tcPr>
            <w:tcW w:w="8849" w:type="dxa"/>
            <w:gridSpan w:val="8"/>
          </w:tcPr>
          <w:p w:rsidR="00DD4B94" w:rsidRPr="00132561" w:rsidRDefault="008E7D12" w:rsidP="00282096">
            <w:pPr>
              <w:jc w:val="both"/>
              <w:rPr>
                <w:sz w:val="22"/>
                <w:u w:val="single"/>
              </w:rPr>
            </w:pPr>
            <w:r w:rsidRPr="00132561">
              <w:rPr>
                <w:sz w:val="22"/>
                <w:u w:val="single"/>
              </w:rPr>
              <w:t>Current Year-to-date vs. Previous Year-to-date</w:t>
            </w:r>
          </w:p>
          <w:p w:rsidR="008E7D12" w:rsidRPr="00132561" w:rsidRDefault="008E7D12" w:rsidP="00282096">
            <w:pPr>
              <w:jc w:val="both"/>
              <w:rPr>
                <w:sz w:val="22"/>
              </w:rPr>
            </w:pPr>
          </w:p>
          <w:p w:rsidR="008E7D12" w:rsidRPr="00132561" w:rsidRDefault="008E7D12" w:rsidP="00B401FA">
            <w:pPr>
              <w:jc w:val="both"/>
              <w:rPr>
                <w:sz w:val="22"/>
              </w:rPr>
            </w:pPr>
            <w:r w:rsidRPr="00132561">
              <w:rPr>
                <w:sz w:val="22"/>
              </w:rPr>
              <w:t xml:space="preserve">The Group’s pre-tax profit for the </w:t>
            </w:r>
            <w:r w:rsidR="006D5EA7">
              <w:rPr>
                <w:sz w:val="22"/>
              </w:rPr>
              <w:t xml:space="preserve">financial </w:t>
            </w:r>
            <w:r w:rsidR="00D2771E">
              <w:rPr>
                <w:sz w:val="22"/>
              </w:rPr>
              <w:t>period</w:t>
            </w:r>
            <w:r w:rsidR="006D5EA7">
              <w:rPr>
                <w:sz w:val="22"/>
              </w:rPr>
              <w:t xml:space="preserve"> ended</w:t>
            </w:r>
            <w:r w:rsidRPr="00132561">
              <w:rPr>
                <w:sz w:val="22"/>
              </w:rPr>
              <w:t xml:space="preserve"> 3</w:t>
            </w:r>
            <w:r w:rsidR="006D5EA7">
              <w:rPr>
                <w:sz w:val="22"/>
              </w:rPr>
              <w:t>1</w:t>
            </w:r>
            <w:r w:rsidR="00DF41EB">
              <w:rPr>
                <w:sz w:val="22"/>
              </w:rPr>
              <w:t xml:space="preserve"> </w:t>
            </w:r>
            <w:r w:rsidR="00D2771E">
              <w:rPr>
                <w:sz w:val="22"/>
              </w:rPr>
              <w:t>March 201</w:t>
            </w:r>
            <w:r w:rsidR="00C96E6A">
              <w:rPr>
                <w:sz w:val="22"/>
              </w:rPr>
              <w:t>4</w:t>
            </w:r>
            <w:r w:rsidRPr="00132561">
              <w:rPr>
                <w:sz w:val="22"/>
              </w:rPr>
              <w:t xml:space="preserve"> of RM</w:t>
            </w:r>
            <w:r w:rsidR="00C96E6A">
              <w:rPr>
                <w:sz w:val="22"/>
              </w:rPr>
              <w:t>3.96</w:t>
            </w:r>
            <w:r w:rsidRPr="00132561">
              <w:rPr>
                <w:sz w:val="22"/>
              </w:rPr>
              <w:t xml:space="preserve"> million was RM</w:t>
            </w:r>
            <w:r w:rsidR="00C96E6A">
              <w:rPr>
                <w:sz w:val="22"/>
              </w:rPr>
              <w:t>2</w:t>
            </w:r>
            <w:r w:rsidR="00F817B1">
              <w:rPr>
                <w:sz w:val="22"/>
              </w:rPr>
              <w:t>.</w:t>
            </w:r>
            <w:r w:rsidR="00C96E6A">
              <w:rPr>
                <w:sz w:val="22"/>
              </w:rPr>
              <w:t>16</w:t>
            </w:r>
            <w:r w:rsidRPr="00132561">
              <w:rPr>
                <w:sz w:val="22"/>
              </w:rPr>
              <w:t xml:space="preserve"> million or </w:t>
            </w:r>
            <w:r w:rsidR="00C96E6A">
              <w:rPr>
                <w:sz w:val="22"/>
              </w:rPr>
              <w:t>35.29</w:t>
            </w:r>
            <w:r w:rsidRPr="00132561">
              <w:rPr>
                <w:sz w:val="22"/>
              </w:rPr>
              <w:t xml:space="preserve">% </w:t>
            </w:r>
            <w:r w:rsidR="00C96E6A">
              <w:rPr>
                <w:sz w:val="22"/>
              </w:rPr>
              <w:t>lower</w:t>
            </w:r>
            <w:r w:rsidRPr="00132561">
              <w:rPr>
                <w:sz w:val="22"/>
              </w:rPr>
              <w:t xml:space="preserve"> than the previous corresponding period of RM</w:t>
            </w:r>
            <w:r w:rsidR="00C96E6A">
              <w:rPr>
                <w:sz w:val="22"/>
              </w:rPr>
              <w:t>6.12</w:t>
            </w:r>
            <w:r w:rsidR="00C21633" w:rsidRPr="00132561">
              <w:rPr>
                <w:sz w:val="22"/>
              </w:rPr>
              <w:t xml:space="preserve"> million. Net profit attributable to equity holders </w:t>
            </w:r>
            <w:r w:rsidR="001F5749">
              <w:rPr>
                <w:sz w:val="22"/>
              </w:rPr>
              <w:t>de</w:t>
            </w:r>
            <w:r w:rsidR="00C21633" w:rsidRPr="00132561">
              <w:rPr>
                <w:sz w:val="22"/>
              </w:rPr>
              <w:t>crease</w:t>
            </w:r>
            <w:r w:rsidR="00BC7081" w:rsidRPr="00132561">
              <w:rPr>
                <w:sz w:val="22"/>
              </w:rPr>
              <w:t>d</w:t>
            </w:r>
            <w:r w:rsidR="00C21633" w:rsidRPr="00132561">
              <w:rPr>
                <w:sz w:val="22"/>
              </w:rPr>
              <w:t xml:space="preserve"> by RM</w:t>
            </w:r>
            <w:r w:rsidR="001F5749">
              <w:rPr>
                <w:sz w:val="22"/>
              </w:rPr>
              <w:t>1.53</w:t>
            </w:r>
            <w:r w:rsidR="00C21633" w:rsidRPr="00132561">
              <w:rPr>
                <w:sz w:val="22"/>
              </w:rPr>
              <w:t xml:space="preserve"> million to RM</w:t>
            </w:r>
            <w:r w:rsidR="001F5749">
              <w:rPr>
                <w:sz w:val="22"/>
              </w:rPr>
              <w:t>3.06</w:t>
            </w:r>
            <w:r w:rsidR="00C21633" w:rsidRPr="00132561">
              <w:rPr>
                <w:sz w:val="22"/>
              </w:rPr>
              <w:t xml:space="preserve"> million. The </w:t>
            </w:r>
            <w:r w:rsidR="001F5749">
              <w:rPr>
                <w:sz w:val="22"/>
              </w:rPr>
              <w:t>de</w:t>
            </w:r>
            <w:r w:rsidR="00C21633" w:rsidRPr="00132561">
              <w:rPr>
                <w:sz w:val="22"/>
              </w:rPr>
              <w:t>crease</w:t>
            </w:r>
            <w:r w:rsidR="00BC7081" w:rsidRPr="00132561">
              <w:rPr>
                <w:sz w:val="22"/>
              </w:rPr>
              <w:t xml:space="preserve"> in</w:t>
            </w:r>
            <w:r w:rsidR="00C21633" w:rsidRPr="00132561">
              <w:rPr>
                <w:sz w:val="22"/>
              </w:rPr>
              <w:t xml:space="preserve"> earnings was mainly due to </w:t>
            </w:r>
            <w:r w:rsidR="001F5749">
              <w:rPr>
                <w:sz w:val="22"/>
              </w:rPr>
              <w:t>lower</w:t>
            </w:r>
            <w:r w:rsidR="005A1244">
              <w:rPr>
                <w:sz w:val="22"/>
              </w:rPr>
              <w:t xml:space="preserve"> </w:t>
            </w:r>
            <w:r w:rsidR="00A52683">
              <w:rPr>
                <w:sz w:val="22"/>
              </w:rPr>
              <w:t>revenue</w:t>
            </w:r>
            <w:r w:rsidR="00682CB9" w:rsidRPr="00132561">
              <w:rPr>
                <w:sz w:val="22"/>
              </w:rPr>
              <w:t>.</w:t>
            </w:r>
            <w:r w:rsidR="00E14C1E" w:rsidRPr="00132561">
              <w:rPr>
                <w:sz w:val="22"/>
              </w:rPr>
              <w:t xml:space="preserve"> </w:t>
            </w:r>
          </w:p>
          <w:p w:rsidR="00CA617B" w:rsidRPr="00132561" w:rsidRDefault="00CA617B" w:rsidP="00B401FA">
            <w:pPr>
              <w:jc w:val="both"/>
              <w:rPr>
                <w:sz w:val="22"/>
              </w:rPr>
            </w:pPr>
          </w:p>
        </w:tc>
      </w:tr>
      <w:tr w:rsidR="00EF24A6" w:rsidTr="00282096">
        <w:trPr>
          <w:cantSplit/>
          <w:trHeight w:val="1507"/>
        </w:trPr>
        <w:tc>
          <w:tcPr>
            <w:tcW w:w="525" w:type="dxa"/>
            <w:gridSpan w:val="2"/>
          </w:tcPr>
          <w:p w:rsidR="00EF24A6" w:rsidRPr="00132561" w:rsidRDefault="00EF24A6" w:rsidP="000C6D2B">
            <w:pPr>
              <w:pStyle w:val="ListParagraph"/>
              <w:numPr>
                <w:ilvl w:val="0"/>
                <w:numId w:val="2"/>
              </w:numPr>
              <w:rPr>
                <w:sz w:val="22"/>
              </w:rPr>
            </w:pPr>
          </w:p>
        </w:tc>
        <w:tc>
          <w:tcPr>
            <w:tcW w:w="8849" w:type="dxa"/>
            <w:gridSpan w:val="8"/>
          </w:tcPr>
          <w:p w:rsidR="00EF24A6" w:rsidRPr="00132561" w:rsidRDefault="000C6D2B" w:rsidP="00282096">
            <w:pPr>
              <w:jc w:val="both"/>
              <w:rPr>
                <w:sz w:val="22"/>
                <w:u w:val="single"/>
              </w:rPr>
            </w:pPr>
            <w:r w:rsidRPr="00132561">
              <w:rPr>
                <w:sz w:val="22"/>
                <w:u w:val="single"/>
              </w:rPr>
              <w:t>Current Quarter vs. Previous Year Corresponding Quarter</w:t>
            </w:r>
          </w:p>
          <w:p w:rsidR="000C6D2B" w:rsidRPr="00132561" w:rsidRDefault="000C6D2B" w:rsidP="00282096">
            <w:pPr>
              <w:jc w:val="both"/>
              <w:rPr>
                <w:sz w:val="22"/>
              </w:rPr>
            </w:pPr>
          </w:p>
          <w:p w:rsidR="000C6D2B" w:rsidRPr="00132561" w:rsidRDefault="000C6D2B" w:rsidP="009915C0">
            <w:pPr>
              <w:jc w:val="both"/>
              <w:rPr>
                <w:sz w:val="22"/>
              </w:rPr>
            </w:pPr>
            <w:r w:rsidRPr="00132561">
              <w:rPr>
                <w:sz w:val="22"/>
              </w:rPr>
              <w:t xml:space="preserve">For the </w:t>
            </w:r>
            <w:r w:rsidR="009875C8">
              <w:rPr>
                <w:sz w:val="22"/>
              </w:rPr>
              <w:t>1st</w:t>
            </w:r>
            <w:r w:rsidR="006D5EA7">
              <w:rPr>
                <w:sz w:val="22"/>
              </w:rPr>
              <w:t xml:space="preserve"> </w:t>
            </w:r>
            <w:r w:rsidRPr="00132561">
              <w:rPr>
                <w:sz w:val="22"/>
              </w:rPr>
              <w:t>quarter ended 3</w:t>
            </w:r>
            <w:r w:rsidR="006D5EA7">
              <w:rPr>
                <w:sz w:val="22"/>
              </w:rPr>
              <w:t xml:space="preserve">1 </w:t>
            </w:r>
            <w:r w:rsidR="009915C0">
              <w:rPr>
                <w:sz w:val="22"/>
              </w:rPr>
              <w:t>March 2014</w:t>
            </w:r>
            <w:r w:rsidRPr="00132561">
              <w:rPr>
                <w:sz w:val="22"/>
              </w:rPr>
              <w:t>, the Group registered a pre-tax profit of RM</w:t>
            </w:r>
            <w:r w:rsidR="009915C0">
              <w:rPr>
                <w:sz w:val="22"/>
              </w:rPr>
              <w:t>3</w:t>
            </w:r>
            <w:r w:rsidR="00611473">
              <w:rPr>
                <w:sz w:val="22"/>
              </w:rPr>
              <w:t>.</w:t>
            </w:r>
            <w:r w:rsidR="009915C0">
              <w:rPr>
                <w:sz w:val="22"/>
              </w:rPr>
              <w:t>96</w:t>
            </w:r>
            <w:r w:rsidRPr="00132561">
              <w:rPr>
                <w:sz w:val="22"/>
              </w:rPr>
              <w:t xml:space="preserve"> million, </w:t>
            </w:r>
            <w:r w:rsidR="009915C0">
              <w:rPr>
                <w:sz w:val="22"/>
              </w:rPr>
              <w:t>a de</w:t>
            </w:r>
            <w:r w:rsidRPr="00132561">
              <w:rPr>
                <w:sz w:val="22"/>
              </w:rPr>
              <w:t>crease of RM</w:t>
            </w:r>
            <w:r w:rsidR="009915C0">
              <w:rPr>
                <w:sz w:val="22"/>
              </w:rPr>
              <w:t>2.16</w:t>
            </w:r>
            <w:r w:rsidRPr="00132561">
              <w:rPr>
                <w:sz w:val="22"/>
              </w:rPr>
              <w:t xml:space="preserve"> million or </w:t>
            </w:r>
            <w:r w:rsidR="009915C0">
              <w:rPr>
                <w:sz w:val="22"/>
              </w:rPr>
              <w:t>35.29</w:t>
            </w:r>
            <w:r w:rsidRPr="00132561">
              <w:rPr>
                <w:sz w:val="22"/>
              </w:rPr>
              <w:t xml:space="preserve">% as compared to the previous </w:t>
            </w:r>
            <w:r w:rsidR="00CE63E7" w:rsidRPr="00132561">
              <w:rPr>
                <w:sz w:val="22"/>
              </w:rPr>
              <w:t xml:space="preserve">year </w:t>
            </w:r>
            <w:r w:rsidRPr="00132561">
              <w:rPr>
                <w:sz w:val="22"/>
              </w:rPr>
              <w:t>corresponding quarter</w:t>
            </w:r>
            <w:r w:rsidR="00B142BE">
              <w:rPr>
                <w:sz w:val="22"/>
              </w:rPr>
              <w:t xml:space="preserve"> of RM</w:t>
            </w:r>
            <w:r w:rsidR="009915C0">
              <w:rPr>
                <w:sz w:val="22"/>
              </w:rPr>
              <w:t>6.12</w:t>
            </w:r>
            <w:r w:rsidR="00B142BE">
              <w:rPr>
                <w:sz w:val="22"/>
              </w:rPr>
              <w:t xml:space="preserve"> million</w:t>
            </w:r>
            <w:r w:rsidR="00050DAF" w:rsidRPr="00132561">
              <w:rPr>
                <w:sz w:val="22"/>
              </w:rPr>
              <w:t xml:space="preserve">. The </w:t>
            </w:r>
            <w:r w:rsidR="009915C0">
              <w:rPr>
                <w:sz w:val="22"/>
              </w:rPr>
              <w:t>de</w:t>
            </w:r>
            <w:r w:rsidR="000D4219" w:rsidRPr="00132561">
              <w:rPr>
                <w:sz w:val="22"/>
              </w:rPr>
              <w:t>crease in earnings was</w:t>
            </w:r>
            <w:r w:rsidR="00050DAF" w:rsidRPr="00132561">
              <w:rPr>
                <w:sz w:val="22"/>
              </w:rPr>
              <w:t xml:space="preserve"> mainly due to </w:t>
            </w:r>
            <w:r w:rsidR="009915C0">
              <w:rPr>
                <w:sz w:val="22"/>
              </w:rPr>
              <w:t>lower</w:t>
            </w:r>
            <w:r w:rsidR="00050DAF" w:rsidRPr="00132561">
              <w:rPr>
                <w:sz w:val="22"/>
              </w:rPr>
              <w:t xml:space="preserve"> </w:t>
            </w:r>
            <w:r w:rsidR="009F5FE9" w:rsidRPr="00132561">
              <w:rPr>
                <w:sz w:val="22"/>
              </w:rPr>
              <w:t>revenue</w:t>
            </w:r>
            <w:r w:rsidR="00967A9B">
              <w:rPr>
                <w:sz w:val="22"/>
              </w:rPr>
              <w:t>.</w:t>
            </w:r>
            <w:r w:rsidR="000D4219" w:rsidRPr="00132561">
              <w:rPr>
                <w:sz w:val="22"/>
              </w:rPr>
              <w:t xml:space="preserve"> </w:t>
            </w:r>
            <w:r w:rsidR="00C6219D" w:rsidRPr="00132561">
              <w:rPr>
                <w:sz w:val="22"/>
              </w:rPr>
              <w:t xml:space="preserve">Earnings attributable to equity holders </w:t>
            </w:r>
            <w:r w:rsidR="009915C0">
              <w:rPr>
                <w:sz w:val="22"/>
              </w:rPr>
              <w:t>de</w:t>
            </w:r>
            <w:r w:rsidR="00C6219D" w:rsidRPr="00132561">
              <w:rPr>
                <w:sz w:val="22"/>
              </w:rPr>
              <w:t>crease</w:t>
            </w:r>
            <w:r w:rsidR="00E92059" w:rsidRPr="00132561">
              <w:rPr>
                <w:sz w:val="22"/>
              </w:rPr>
              <w:t>d</w:t>
            </w:r>
            <w:r w:rsidR="00C6219D" w:rsidRPr="00132561">
              <w:rPr>
                <w:sz w:val="22"/>
              </w:rPr>
              <w:t xml:space="preserve"> by RM</w:t>
            </w:r>
            <w:r w:rsidR="009915C0">
              <w:rPr>
                <w:sz w:val="22"/>
              </w:rPr>
              <w:t>1.53</w:t>
            </w:r>
            <w:r w:rsidR="00C6219D" w:rsidRPr="00132561">
              <w:rPr>
                <w:sz w:val="22"/>
              </w:rPr>
              <w:t xml:space="preserve"> million or </w:t>
            </w:r>
            <w:r w:rsidR="009915C0">
              <w:rPr>
                <w:sz w:val="22"/>
              </w:rPr>
              <w:t>33.33</w:t>
            </w:r>
            <w:r w:rsidR="00C6219D" w:rsidRPr="00132561">
              <w:rPr>
                <w:sz w:val="22"/>
              </w:rPr>
              <w:t>% over the same period.</w:t>
            </w:r>
          </w:p>
        </w:tc>
      </w:tr>
      <w:tr w:rsidR="00EF24A6" w:rsidTr="00282096">
        <w:trPr>
          <w:cantSplit/>
        </w:trPr>
        <w:tc>
          <w:tcPr>
            <w:tcW w:w="525" w:type="dxa"/>
            <w:gridSpan w:val="2"/>
          </w:tcPr>
          <w:p w:rsidR="00EF24A6" w:rsidRPr="00132561" w:rsidRDefault="00EF24A6" w:rsidP="00282096">
            <w:pPr>
              <w:jc w:val="right"/>
              <w:rPr>
                <w:sz w:val="22"/>
              </w:rPr>
            </w:pPr>
          </w:p>
        </w:tc>
        <w:tc>
          <w:tcPr>
            <w:tcW w:w="8849" w:type="dxa"/>
            <w:gridSpan w:val="8"/>
          </w:tcPr>
          <w:p w:rsidR="00EF24A6" w:rsidRPr="00132561" w:rsidRDefault="00EF24A6" w:rsidP="00282096">
            <w:pPr>
              <w:jc w:val="both"/>
              <w:rPr>
                <w:sz w:val="22"/>
              </w:rPr>
            </w:pPr>
          </w:p>
        </w:tc>
      </w:tr>
      <w:tr w:rsidR="00561A1B" w:rsidTr="00282096">
        <w:trPr>
          <w:cantSplit/>
        </w:trPr>
        <w:tc>
          <w:tcPr>
            <w:tcW w:w="525" w:type="dxa"/>
            <w:gridSpan w:val="2"/>
          </w:tcPr>
          <w:p w:rsidR="00561A1B" w:rsidRPr="00132561" w:rsidRDefault="00561A1B" w:rsidP="00561A1B">
            <w:pPr>
              <w:pStyle w:val="ListParagraph"/>
              <w:numPr>
                <w:ilvl w:val="0"/>
                <w:numId w:val="2"/>
              </w:numPr>
              <w:jc w:val="center"/>
              <w:rPr>
                <w:sz w:val="22"/>
              </w:rPr>
            </w:pPr>
          </w:p>
        </w:tc>
        <w:tc>
          <w:tcPr>
            <w:tcW w:w="8849" w:type="dxa"/>
            <w:gridSpan w:val="8"/>
          </w:tcPr>
          <w:p w:rsidR="00561A1B" w:rsidRPr="00132561" w:rsidRDefault="00561A1B" w:rsidP="009F5FE9">
            <w:pPr>
              <w:jc w:val="both"/>
              <w:rPr>
                <w:sz w:val="22"/>
                <w:u w:val="single"/>
              </w:rPr>
            </w:pPr>
            <w:r w:rsidRPr="00132561">
              <w:rPr>
                <w:sz w:val="22"/>
                <w:u w:val="single"/>
              </w:rPr>
              <w:t>Variation of Results Against Preceding Quarter</w:t>
            </w:r>
          </w:p>
          <w:p w:rsidR="00561A1B" w:rsidRPr="00132561" w:rsidRDefault="00561A1B" w:rsidP="009F5FE9">
            <w:pPr>
              <w:pStyle w:val="NoSpacing"/>
              <w:jc w:val="both"/>
            </w:pPr>
          </w:p>
          <w:p w:rsidR="00561A1B" w:rsidRDefault="00561A1B" w:rsidP="009F5FE9">
            <w:pPr>
              <w:jc w:val="both"/>
              <w:rPr>
                <w:sz w:val="22"/>
                <w:szCs w:val="22"/>
              </w:rPr>
            </w:pPr>
            <w:r w:rsidRPr="00132561">
              <w:rPr>
                <w:sz w:val="22"/>
                <w:szCs w:val="22"/>
              </w:rPr>
              <w:t>The Group’s pre-tax profit of RM</w:t>
            </w:r>
            <w:r w:rsidR="004B6283">
              <w:rPr>
                <w:sz w:val="22"/>
                <w:szCs w:val="22"/>
              </w:rPr>
              <w:t>3.96</w:t>
            </w:r>
            <w:r w:rsidR="00F84828" w:rsidRPr="00132561">
              <w:rPr>
                <w:sz w:val="22"/>
                <w:szCs w:val="22"/>
              </w:rPr>
              <w:t xml:space="preserve"> million for the </w:t>
            </w:r>
            <w:r w:rsidR="00D2771E">
              <w:rPr>
                <w:sz w:val="22"/>
                <w:szCs w:val="22"/>
              </w:rPr>
              <w:t>1st</w:t>
            </w:r>
            <w:r w:rsidR="006D5EA7">
              <w:rPr>
                <w:sz w:val="22"/>
                <w:szCs w:val="22"/>
              </w:rPr>
              <w:t xml:space="preserve"> </w:t>
            </w:r>
            <w:r w:rsidR="00F84828" w:rsidRPr="00132561">
              <w:rPr>
                <w:sz w:val="22"/>
                <w:szCs w:val="22"/>
              </w:rPr>
              <w:t>quarter ended 3</w:t>
            </w:r>
            <w:r w:rsidR="006D5EA7">
              <w:rPr>
                <w:sz w:val="22"/>
                <w:szCs w:val="22"/>
              </w:rPr>
              <w:t xml:space="preserve">1 </w:t>
            </w:r>
            <w:r w:rsidR="004B6283">
              <w:rPr>
                <w:sz w:val="22"/>
                <w:szCs w:val="22"/>
              </w:rPr>
              <w:t>March 2014</w:t>
            </w:r>
            <w:r w:rsidR="00B401FA" w:rsidRPr="00132561">
              <w:rPr>
                <w:sz w:val="22"/>
                <w:szCs w:val="22"/>
              </w:rPr>
              <w:t xml:space="preserve"> shows </w:t>
            </w:r>
            <w:r w:rsidR="006C631F">
              <w:rPr>
                <w:sz w:val="22"/>
                <w:szCs w:val="22"/>
              </w:rPr>
              <w:t>a</w:t>
            </w:r>
            <w:r w:rsidR="004B6283">
              <w:rPr>
                <w:sz w:val="22"/>
                <w:szCs w:val="22"/>
              </w:rPr>
              <w:t>n</w:t>
            </w:r>
            <w:r w:rsidR="006C631F">
              <w:rPr>
                <w:sz w:val="22"/>
                <w:szCs w:val="22"/>
              </w:rPr>
              <w:t xml:space="preserve"> </w:t>
            </w:r>
            <w:r w:rsidR="004B6283">
              <w:rPr>
                <w:sz w:val="22"/>
                <w:szCs w:val="22"/>
              </w:rPr>
              <w:t>in</w:t>
            </w:r>
            <w:r w:rsidR="00F84828" w:rsidRPr="00132561">
              <w:rPr>
                <w:sz w:val="22"/>
                <w:szCs w:val="22"/>
              </w:rPr>
              <w:t>crease of RM</w:t>
            </w:r>
            <w:r w:rsidR="004B6283">
              <w:rPr>
                <w:sz w:val="22"/>
                <w:szCs w:val="22"/>
              </w:rPr>
              <w:t>0.11</w:t>
            </w:r>
            <w:r w:rsidR="00F84828" w:rsidRPr="00132561">
              <w:rPr>
                <w:sz w:val="22"/>
                <w:szCs w:val="22"/>
              </w:rPr>
              <w:t xml:space="preserve"> million or </w:t>
            </w:r>
            <w:r w:rsidR="004B6283">
              <w:rPr>
                <w:sz w:val="22"/>
                <w:szCs w:val="22"/>
              </w:rPr>
              <w:t>2.86</w:t>
            </w:r>
            <w:r w:rsidR="006B0898">
              <w:rPr>
                <w:sz w:val="22"/>
                <w:szCs w:val="22"/>
              </w:rPr>
              <w:t>%</w:t>
            </w:r>
            <w:r w:rsidR="00CF64CE" w:rsidRPr="00132561">
              <w:rPr>
                <w:sz w:val="22"/>
                <w:szCs w:val="22"/>
              </w:rPr>
              <w:t xml:space="preserve"> </w:t>
            </w:r>
            <w:r w:rsidR="00F84828" w:rsidRPr="00132561">
              <w:rPr>
                <w:sz w:val="22"/>
                <w:szCs w:val="22"/>
              </w:rPr>
              <w:t>as compared to the pre-tax profit of RM</w:t>
            </w:r>
            <w:r w:rsidR="004B6283">
              <w:rPr>
                <w:sz w:val="22"/>
                <w:szCs w:val="22"/>
              </w:rPr>
              <w:t>3.85</w:t>
            </w:r>
            <w:r w:rsidR="00F84828" w:rsidRPr="00132561">
              <w:rPr>
                <w:sz w:val="22"/>
                <w:szCs w:val="22"/>
              </w:rPr>
              <w:t xml:space="preserve"> million for</w:t>
            </w:r>
            <w:r w:rsidR="00CF64CE" w:rsidRPr="00132561">
              <w:rPr>
                <w:sz w:val="22"/>
                <w:szCs w:val="22"/>
              </w:rPr>
              <w:t xml:space="preserve"> the preceding quarter ended 3</w:t>
            </w:r>
            <w:r w:rsidR="00D2771E">
              <w:rPr>
                <w:sz w:val="22"/>
                <w:szCs w:val="22"/>
              </w:rPr>
              <w:t>1 Dec</w:t>
            </w:r>
            <w:r w:rsidR="00070295">
              <w:rPr>
                <w:sz w:val="22"/>
                <w:szCs w:val="22"/>
              </w:rPr>
              <w:t>ember</w:t>
            </w:r>
            <w:r w:rsidR="00DF41EB">
              <w:rPr>
                <w:sz w:val="22"/>
                <w:szCs w:val="22"/>
              </w:rPr>
              <w:t xml:space="preserve"> </w:t>
            </w:r>
            <w:r w:rsidR="00CF64CE" w:rsidRPr="00132561">
              <w:rPr>
                <w:sz w:val="22"/>
                <w:szCs w:val="22"/>
              </w:rPr>
              <w:t>201</w:t>
            </w:r>
            <w:r w:rsidR="004B6283">
              <w:rPr>
                <w:sz w:val="22"/>
                <w:szCs w:val="22"/>
              </w:rPr>
              <w:t>3</w:t>
            </w:r>
            <w:r w:rsidR="00CF64CE" w:rsidRPr="00132561">
              <w:rPr>
                <w:sz w:val="22"/>
                <w:szCs w:val="22"/>
              </w:rPr>
              <w:t xml:space="preserve">. Net profit attributable to equity holders </w:t>
            </w:r>
            <w:r w:rsidR="006C631F">
              <w:rPr>
                <w:sz w:val="22"/>
                <w:szCs w:val="22"/>
              </w:rPr>
              <w:t>de</w:t>
            </w:r>
            <w:r w:rsidR="00CF64CE" w:rsidRPr="00132561">
              <w:rPr>
                <w:sz w:val="22"/>
                <w:szCs w:val="22"/>
              </w:rPr>
              <w:t>crease</w:t>
            </w:r>
            <w:r w:rsidR="009E60DE" w:rsidRPr="00132561">
              <w:rPr>
                <w:sz w:val="22"/>
                <w:szCs w:val="22"/>
              </w:rPr>
              <w:t>d</w:t>
            </w:r>
            <w:r w:rsidR="00CF64CE" w:rsidRPr="00132561">
              <w:rPr>
                <w:sz w:val="22"/>
                <w:szCs w:val="22"/>
              </w:rPr>
              <w:t xml:space="preserve"> by RM</w:t>
            </w:r>
            <w:r w:rsidR="00F817B1">
              <w:rPr>
                <w:sz w:val="22"/>
                <w:szCs w:val="22"/>
              </w:rPr>
              <w:t>0.</w:t>
            </w:r>
            <w:r w:rsidR="002B3CA2">
              <w:rPr>
                <w:sz w:val="22"/>
                <w:szCs w:val="22"/>
              </w:rPr>
              <w:t>21</w:t>
            </w:r>
            <w:r w:rsidR="00CF64CE" w:rsidRPr="00132561">
              <w:rPr>
                <w:sz w:val="22"/>
                <w:szCs w:val="22"/>
              </w:rPr>
              <w:t xml:space="preserve"> million</w:t>
            </w:r>
            <w:r w:rsidR="009E60DE" w:rsidRPr="00132561">
              <w:rPr>
                <w:sz w:val="22"/>
                <w:szCs w:val="22"/>
              </w:rPr>
              <w:t xml:space="preserve"> or </w:t>
            </w:r>
            <w:r w:rsidR="002B3CA2">
              <w:rPr>
                <w:sz w:val="22"/>
                <w:szCs w:val="22"/>
              </w:rPr>
              <w:t>6.42</w:t>
            </w:r>
            <w:r w:rsidR="009E60DE" w:rsidRPr="00132561">
              <w:rPr>
                <w:sz w:val="22"/>
                <w:szCs w:val="22"/>
              </w:rPr>
              <w:t xml:space="preserve">% over the same period. The </w:t>
            </w:r>
            <w:r w:rsidR="006C631F">
              <w:rPr>
                <w:sz w:val="22"/>
                <w:szCs w:val="22"/>
              </w:rPr>
              <w:t>de</w:t>
            </w:r>
            <w:r w:rsidR="009E60DE" w:rsidRPr="00132561">
              <w:rPr>
                <w:sz w:val="22"/>
                <w:szCs w:val="22"/>
              </w:rPr>
              <w:t xml:space="preserve">crease in profit </w:t>
            </w:r>
            <w:r w:rsidR="00E92059" w:rsidRPr="00132561">
              <w:rPr>
                <w:sz w:val="22"/>
                <w:szCs w:val="22"/>
              </w:rPr>
              <w:t>wa</w:t>
            </w:r>
            <w:r w:rsidR="009E60DE" w:rsidRPr="00132561">
              <w:rPr>
                <w:sz w:val="22"/>
                <w:szCs w:val="22"/>
              </w:rPr>
              <w:t xml:space="preserve">s mainly due to </w:t>
            </w:r>
            <w:r w:rsidR="00F50B94">
              <w:rPr>
                <w:sz w:val="22"/>
                <w:szCs w:val="22"/>
              </w:rPr>
              <w:t>higher income tax expenses</w:t>
            </w:r>
            <w:r w:rsidR="006B0898">
              <w:rPr>
                <w:sz w:val="22"/>
                <w:szCs w:val="22"/>
              </w:rPr>
              <w:t>.</w:t>
            </w:r>
          </w:p>
          <w:p w:rsidR="009E60DE" w:rsidRDefault="009E60DE" w:rsidP="009F5FE9">
            <w:pPr>
              <w:jc w:val="both"/>
              <w:rPr>
                <w:sz w:val="22"/>
                <w:szCs w:val="22"/>
              </w:rPr>
            </w:pPr>
          </w:p>
          <w:p w:rsidR="00136CC8" w:rsidRPr="00132561" w:rsidRDefault="00136CC8" w:rsidP="009F5FE9">
            <w:pPr>
              <w:jc w:val="both"/>
              <w:rPr>
                <w:sz w:val="22"/>
                <w:szCs w:val="22"/>
              </w:rPr>
            </w:pPr>
          </w:p>
        </w:tc>
      </w:tr>
      <w:tr w:rsidR="00EF24A6" w:rsidTr="00282096">
        <w:trPr>
          <w:cantSplit/>
        </w:trPr>
        <w:tc>
          <w:tcPr>
            <w:tcW w:w="525" w:type="dxa"/>
            <w:gridSpan w:val="2"/>
          </w:tcPr>
          <w:p w:rsidR="00EF24A6" w:rsidRPr="00F817B1" w:rsidRDefault="00EF24A6" w:rsidP="00282096">
            <w:pPr>
              <w:jc w:val="right"/>
              <w:rPr>
                <w:sz w:val="22"/>
                <w:szCs w:val="22"/>
              </w:rPr>
            </w:pPr>
            <w:r w:rsidRPr="00F817B1">
              <w:br w:type="page"/>
            </w:r>
            <w:r w:rsidRPr="00F817B1">
              <w:br w:type="page"/>
            </w:r>
            <w:r w:rsidR="009E60DE" w:rsidRPr="00F817B1">
              <w:rPr>
                <w:sz w:val="22"/>
                <w:szCs w:val="22"/>
              </w:rPr>
              <w:t>2</w:t>
            </w:r>
            <w:r w:rsidR="00545CCD">
              <w:rPr>
                <w:sz w:val="22"/>
                <w:szCs w:val="22"/>
              </w:rPr>
              <w:t>1</w:t>
            </w:r>
            <w:r w:rsidRPr="00F817B1">
              <w:rPr>
                <w:sz w:val="22"/>
                <w:szCs w:val="22"/>
              </w:rPr>
              <w:t>.</w:t>
            </w:r>
          </w:p>
        </w:tc>
        <w:tc>
          <w:tcPr>
            <w:tcW w:w="8849" w:type="dxa"/>
            <w:gridSpan w:val="8"/>
          </w:tcPr>
          <w:p w:rsidR="00EF24A6" w:rsidRPr="00F817B1" w:rsidRDefault="00EF24A6" w:rsidP="00282096">
            <w:pPr>
              <w:jc w:val="both"/>
              <w:rPr>
                <w:sz w:val="22"/>
              </w:rPr>
            </w:pPr>
            <w:r w:rsidRPr="00F817B1">
              <w:rPr>
                <w:sz w:val="22"/>
              </w:rPr>
              <w:t>Commentary on Prospects</w:t>
            </w:r>
          </w:p>
          <w:p w:rsidR="00C708D6" w:rsidRPr="00F817B1" w:rsidRDefault="00C708D6" w:rsidP="00282096">
            <w:pPr>
              <w:jc w:val="both"/>
              <w:rPr>
                <w:sz w:val="22"/>
              </w:rPr>
            </w:pPr>
          </w:p>
        </w:tc>
      </w:tr>
      <w:tr w:rsidR="00EF24A6" w:rsidTr="00282096">
        <w:trPr>
          <w:cantSplit/>
        </w:trPr>
        <w:tc>
          <w:tcPr>
            <w:tcW w:w="525" w:type="dxa"/>
            <w:gridSpan w:val="2"/>
          </w:tcPr>
          <w:p w:rsidR="00EF24A6" w:rsidRPr="00F817B1" w:rsidRDefault="00EF24A6" w:rsidP="00282096">
            <w:pPr>
              <w:jc w:val="right"/>
              <w:rPr>
                <w:sz w:val="22"/>
              </w:rPr>
            </w:pPr>
          </w:p>
        </w:tc>
        <w:tc>
          <w:tcPr>
            <w:tcW w:w="8849" w:type="dxa"/>
            <w:gridSpan w:val="8"/>
          </w:tcPr>
          <w:p w:rsidR="00EF24A6" w:rsidRPr="00F817B1" w:rsidRDefault="00C708D6" w:rsidP="00475337">
            <w:pPr>
              <w:jc w:val="both"/>
              <w:rPr>
                <w:sz w:val="22"/>
              </w:rPr>
            </w:pPr>
            <w:r w:rsidRPr="00F817B1">
              <w:rPr>
                <w:sz w:val="22"/>
              </w:rPr>
              <w:t xml:space="preserve">The market for the Group’s products remains very competitive. </w:t>
            </w:r>
            <w:r w:rsidR="00D50458" w:rsidRPr="00F817B1">
              <w:rPr>
                <w:sz w:val="22"/>
              </w:rPr>
              <w:t xml:space="preserve">The Group’s products continue to face stiff price competition. </w:t>
            </w:r>
            <w:r w:rsidR="0028199D" w:rsidRPr="00F817B1">
              <w:rPr>
                <w:sz w:val="22"/>
              </w:rPr>
              <w:t>T</w:t>
            </w:r>
            <w:r w:rsidRPr="00F817B1">
              <w:rPr>
                <w:sz w:val="22"/>
              </w:rPr>
              <w:t xml:space="preserve">he </w:t>
            </w:r>
            <w:r w:rsidR="00475337">
              <w:rPr>
                <w:sz w:val="22"/>
              </w:rPr>
              <w:t xml:space="preserve">Management are studying ways </w:t>
            </w:r>
            <w:r w:rsidRPr="00F817B1">
              <w:rPr>
                <w:sz w:val="22"/>
              </w:rPr>
              <w:t>to face the</w:t>
            </w:r>
            <w:r w:rsidR="00475337">
              <w:rPr>
                <w:sz w:val="22"/>
              </w:rPr>
              <w:t>se</w:t>
            </w:r>
            <w:r w:rsidRPr="00F817B1">
              <w:rPr>
                <w:sz w:val="22"/>
              </w:rPr>
              <w:t xml:space="preserve"> challenges ahead as best as possible.</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textAlignment w:val="auto"/>
              <w:rPr>
                <w:sz w:val="22"/>
              </w:rPr>
            </w:pPr>
          </w:p>
        </w:tc>
      </w:tr>
      <w:tr w:rsidR="00EF24A6" w:rsidTr="00282096">
        <w:trPr>
          <w:cantSplit/>
        </w:trPr>
        <w:tc>
          <w:tcPr>
            <w:tcW w:w="525" w:type="dxa"/>
            <w:gridSpan w:val="2"/>
          </w:tcPr>
          <w:p w:rsidR="00EF24A6" w:rsidRDefault="009E60DE" w:rsidP="00282096">
            <w:pPr>
              <w:jc w:val="right"/>
              <w:rPr>
                <w:sz w:val="22"/>
              </w:rPr>
            </w:pPr>
            <w:r>
              <w:rPr>
                <w:sz w:val="22"/>
              </w:rPr>
              <w:lastRenderedPageBreak/>
              <w:t>2</w:t>
            </w:r>
            <w:r w:rsidR="00545CCD">
              <w:rPr>
                <w:sz w:val="22"/>
              </w:rPr>
              <w:t>2</w:t>
            </w:r>
            <w:r w:rsidR="00EF24A6">
              <w:rPr>
                <w:sz w:val="22"/>
              </w:rPr>
              <w:t>.</w:t>
            </w:r>
          </w:p>
        </w:tc>
        <w:tc>
          <w:tcPr>
            <w:tcW w:w="8849" w:type="dxa"/>
            <w:gridSpan w:val="8"/>
          </w:tcPr>
          <w:p w:rsidR="00EF24A6" w:rsidRDefault="00EF24A6" w:rsidP="00282096">
            <w:pPr>
              <w:jc w:val="both"/>
              <w:textAlignment w:val="auto"/>
              <w:rPr>
                <w:sz w:val="22"/>
              </w:rPr>
            </w:pPr>
            <w:r>
              <w:rPr>
                <w:sz w:val="22"/>
              </w:rPr>
              <w:t xml:space="preserve">Profit forecast/profit guarantee </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r>
              <w:rPr>
                <w:sz w:val="22"/>
              </w:rPr>
              <w:t>No explanatory notes will be provided as the Group has not provided any profit forecast or profit guarantee.</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rPr>
          <w:cantSplit/>
        </w:trPr>
        <w:tc>
          <w:tcPr>
            <w:tcW w:w="525" w:type="dxa"/>
            <w:gridSpan w:val="2"/>
          </w:tcPr>
          <w:p w:rsidR="00EF24A6" w:rsidRDefault="00EF24A6" w:rsidP="00282096">
            <w:pPr>
              <w:jc w:val="right"/>
              <w:rPr>
                <w:sz w:val="22"/>
              </w:rPr>
            </w:pPr>
            <w:r>
              <w:rPr>
                <w:sz w:val="22"/>
              </w:rPr>
              <w:t>2</w:t>
            </w:r>
            <w:r w:rsidR="00545CCD">
              <w:rPr>
                <w:sz w:val="22"/>
              </w:rPr>
              <w:t>3</w:t>
            </w:r>
            <w:r>
              <w:rPr>
                <w:sz w:val="22"/>
              </w:rPr>
              <w:t>.</w:t>
            </w:r>
          </w:p>
        </w:tc>
        <w:tc>
          <w:tcPr>
            <w:tcW w:w="8849" w:type="dxa"/>
            <w:gridSpan w:val="8"/>
          </w:tcPr>
          <w:p w:rsidR="00EF24A6" w:rsidRDefault="00EF24A6" w:rsidP="00282096">
            <w:pPr>
              <w:jc w:val="both"/>
              <w:rPr>
                <w:sz w:val="22"/>
              </w:rPr>
            </w:pPr>
            <w:r>
              <w:rPr>
                <w:sz w:val="22"/>
              </w:rPr>
              <w:t>Income Tax Expense</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DF41EB" w:rsidP="00282096">
            <w:pPr>
              <w:jc w:val="center"/>
              <w:rPr>
                <w:b/>
                <w:sz w:val="22"/>
              </w:rPr>
            </w:pPr>
            <w:r>
              <w:rPr>
                <w:b/>
                <w:sz w:val="22"/>
              </w:rPr>
              <w:t>Current</w:t>
            </w:r>
            <w:r w:rsidR="00EF24A6">
              <w:rPr>
                <w:b/>
                <w:sz w:val="22"/>
              </w:rPr>
              <w:t xml:space="preserve"> Quarter</w:t>
            </w:r>
          </w:p>
          <w:p w:rsidR="00EF24A6" w:rsidRDefault="00EF24A6" w:rsidP="00282096">
            <w:pPr>
              <w:jc w:val="center"/>
              <w:rPr>
                <w:b/>
                <w:sz w:val="22"/>
              </w:rPr>
            </w:pPr>
            <w:r>
              <w:rPr>
                <w:b/>
                <w:sz w:val="22"/>
              </w:rPr>
              <w:t xml:space="preserve">3 Months ended </w:t>
            </w:r>
          </w:p>
        </w:tc>
        <w:tc>
          <w:tcPr>
            <w:tcW w:w="90" w:type="dxa"/>
          </w:tcPr>
          <w:p w:rsidR="00EF24A6" w:rsidRDefault="00EF24A6" w:rsidP="00282096">
            <w:pPr>
              <w:jc w:val="both"/>
              <w:rPr>
                <w:sz w:val="22"/>
              </w:rPr>
            </w:pPr>
          </w:p>
        </w:tc>
        <w:tc>
          <w:tcPr>
            <w:tcW w:w="3148" w:type="dxa"/>
            <w:gridSpan w:val="2"/>
          </w:tcPr>
          <w:p w:rsidR="00EF24A6" w:rsidRDefault="00EF24A6" w:rsidP="00282096">
            <w:pPr>
              <w:jc w:val="center"/>
              <w:rPr>
                <w:b/>
                <w:sz w:val="22"/>
              </w:rPr>
            </w:pPr>
            <w:r>
              <w:rPr>
                <w:b/>
                <w:sz w:val="22"/>
              </w:rPr>
              <w:t>Cumulative Quarter</w:t>
            </w:r>
          </w:p>
          <w:p w:rsidR="00EF24A6" w:rsidRDefault="00D2771E" w:rsidP="00790D5A">
            <w:pPr>
              <w:jc w:val="center"/>
              <w:rPr>
                <w:sz w:val="22"/>
              </w:rPr>
            </w:pPr>
            <w:r>
              <w:rPr>
                <w:b/>
                <w:sz w:val="22"/>
              </w:rPr>
              <w:t xml:space="preserve"> 3</w:t>
            </w:r>
            <w:r w:rsidR="00EF24A6">
              <w:rPr>
                <w:b/>
                <w:sz w:val="22"/>
              </w:rPr>
              <w:t xml:space="preserve"> Months ended</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jc w:val="center"/>
              <w:rPr>
                <w:sz w:val="22"/>
              </w:rPr>
            </w:pPr>
            <w:r>
              <w:rPr>
                <w:b/>
                <w:sz w:val="22"/>
              </w:rPr>
              <w:t>3</w:t>
            </w:r>
            <w:r w:rsidR="006D5EA7">
              <w:rPr>
                <w:b/>
                <w:sz w:val="22"/>
              </w:rPr>
              <w:t xml:space="preserve">1 </w:t>
            </w:r>
            <w:r w:rsidR="00D2771E">
              <w:rPr>
                <w:b/>
                <w:sz w:val="22"/>
              </w:rPr>
              <w:t>Mar</w:t>
            </w:r>
            <w:r w:rsidR="00DF41EB">
              <w:rPr>
                <w:b/>
                <w:sz w:val="22"/>
              </w:rPr>
              <w:t xml:space="preserve"> </w:t>
            </w:r>
            <w:r w:rsidRPr="009D581C">
              <w:rPr>
                <w:b/>
                <w:bCs/>
                <w:sz w:val="22"/>
              </w:rPr>
              <w:t>2</w:t>
            </w:r>
            <w:r>
              <w:rPr>
                <w:b/>
                <w:sz w:val="22"/>
              </w:rPr>
              <w:t>01</w:t>
            </w:r>
            <w:r w:rsidR="00C53A99">
              <w:rPr>
                <w:b/>
                <w:sz w:val="22"/>
              </w:rPr>
              <w:t>4</w:t>
            </w:r>
          </w:p>
        </w:tc>
        <w:tc>
          <w:tcPr>
            <w:tcW w:w="1444" w:type="dxa"/>
          </w:tcPr>
          <w:p w:rsidR="00EF24A6" w:rsidRDefault="00EF24A6" w:rsidP="00282096">
            <w:pPr>
              <w:jc w:val="center"/>
              <w:rPr>
                <w:sz w:val="22"/>
              </w:rPr>
            </w:pPr>
            <w:r>
              <w:rPr>
                <w:b/>
                <w:sz w:val="22"/>
              </w:rPr>
              <w:t>3</w:t>
            </w:r>
            <w:r w:rsidR="006D5EA7">
              <w:rPr>
                <w:b/>
                <w:sz w:val="22"/>
              </w:rPr>
              <w:t xml:space="preserve">1 </w:t>
            </w:r>
            <w:r w:rsidR="00C53A99">
              <w:rPr>
                <w:b/>
                <w:sz w:val="22"/>
              </w:rPr>
              <w:t>Mar 2013</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b/>
                <w:sz w:val="22"/>
              </w:rPr>
              <w:t>3</w:t>
            </w:r>
            <w:r w:rsidR="006D5EA7">
              <w:rPr>
                <w:b/>
                <w:sz w:val="22"/>
              </w:rPr>
              <w:t xml:space="preserve">1 </w:t>
            </w:r>
            <w:r w:rsidR="00C53A99">
              <w:rPr>
                <w:b/>
                <w:sz w:val="22"/>
              </w:rPr>
              <w:t>Mar 2014</w:t>
            </w:r>
          </w:p>
        </w:tc>
        <w:tc>
          <w:tcPr>
            <w:tcW w:w="1799" w:type="dxa"/>
          </w:tcPr>
          <w:p w:rsidR="00EF24A6" w:rsidRDefault="00EF24A6" w:rsidP="00D2771E">
            <w:pPr>
              <w:jc w:val="center"/>
              <w:rPr>
                <w:sz w:val="22"/>
              </w:rPr>
            </w:pPr>
            <w:r>
              <w:rPr>
                <w:b/>
                <w:sz w:val="22"/>
              </w:rPr>
              <w:t>3</w:t>
            </w:r>
            <w:r w:rsidR="006D5EA7">
              <w:rPr>
                <w:b/>
                <w:sz w:val="22"/>
              </w:rPr>
              <w:t xml:space="preserve">1 </w:t>
            </w:r>
            <w:r w:rsidR="00C53A99">
              <w:rPr>
                <w:b/>
                <w:sz w:val="22"/>
              </w:rPr>
              <w:t>Mar 2013</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jc w:val="center"/>
              <w:rPr>
                <w:sz w:val="22"/>
              </w:rPr>
            </w:pPr>
            <w:r>
              <w:rPr>
                <w:sz w:val="22"/>
              </w:rPr>
              <w:t>RM’000</w:t>
            </w:r>
          </w:p>
        </w:tc>
        <w:tc>
          <w:tcPr>
            <w:tcW w:w="1444" w:type="dxa"/>
          </w:tcPr>
          <w:p w:rsidR="00EF24A6" w:rsidRDefault="00EF24A6" w:rsidP="00282096">
            <w:pPr>
              <w:jc w:val="center"/>
              <w:rPr>
                <w:sz w:val="22"/>
              </w:rPr>
            </w:pPr>
            <w:r>
              <w:rPr>
                <w:sz w:val="22"/>
              </w:rPr>
              <w:t>RM’000</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RM’000</w:t>
            </w:r>
          </w:p>
        </w:tc>
        <w:tc>
          <w:tcPr>
            <w:tcW w:w="1799" w:type="dxa"/>
          </w:tcPr>
          <w:p w:rsidR="00EF24A6" w:rsidRDefault="00EF24A6" w:rsidP="00282096">
            <w:pPr>
              <w:jc w:val="center"/>
              <w:rPr>
                <w:sz w:val="22"/>
              </w:rPr>
            </w:pPr>
            <w:r>
              <w:rPr>
                <w:sz w:val="22"/>
              </w:rPr>
              <w:t>RM’000</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Group tax figures consist of :-</w:t>
            </w:r>
          </w:p>
        </w:tc>
        <w:tc>
          <w:tcPr>
            <w:tcW w:w="1435" w:type="dxa"/>
          </w:tcPr>
          <w:p w:rsidR="00EF24A6" w:rsidRDefault="00EF24A6" w:rsidP="00282096">
            <w:pPr>
              <w:jc w:val="center"/>
              <w:rPr>
                <w:sz w:val="22"/>
              </w:rPr>
            </w:pPr>
          </w:p>
        </w:tc>
        <w:tc>
          <w:tcPr>
            <w:tcW w:w="1444" w:type="dxa"/>
          </w:tcPr>
          <w:p w:rsidR="00EF24A6" w:rsidRDefault="00EF24A6" w:rsidP="00282096">
            <w:pPr>
              <w:jc w:val="center"/>
              <w:rPr>
                <w:sz w:val="22"/>
              </w:rPr>
            </w:pP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p>
        </w:tc>
        <w:tc>
          <w:tcPr>
            <w:tcW w:w="1799" w:type="dxa"/>
          </w:tcPr>
          <w:p w:rsidR="00EF24A6" w:rsidRDefault="00EF24A6" w:rsidP="00282096">
            <w:pPr>
              <w:jc w:val="center"/>
              <w:rPr>
                <w:sz w:val="22"/>
              </w:rPr>
            </w:pP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r>
              <w:rPr>
                <w:sz w:val="22"/>
              </w:rPr>
              <w:t>-</w:t>
            </w:r>
          </w:p>
        </w:tc>
        <w:tc>
          <w:tcPr>
            <w:tcW w:w="2435" w:type="dxa"/>
            <w:gridSpan w:val="2"/>
          </w:tcPr>
          <w:p w:rsidR="00EF24A6" w:rsidRDefault="00EF24A6" w:rsidP="00282096">
            <w:pPr>
              <w:jc w:val="both"/>
              <w:rPr>
                <w:sz w:val="22"/>
              </w:rPr>
            </w:pPr>
            <w:r>
              <w:rPr>
                <w:sz w:val="22"/>
              </w:rPr>
              <w:t>Current provision</w:t>
            </w:r>
          </w:p>
        </w:tc>
        <w:tc>
          <w:tcPr>
            <w:tcW w:w="1435" w:type="dxa"/>
          </w:tcPr>
          <w:p w:rsidR="00EF24A6" w:rsidRDefault="00F50B94" w:rsidP="0018650D">
            <w:pPr>
              <w:jc w:val="center"/>
              <w:rPr>
                <w:sz w:val="22"/>
              </w:rPr>
            </w:pPr>
            <w:r>
              <w:rPr>
                <w:sz w:val="22"/>
              </w:rPr>
              <w:t>899</w:t>
            </w:r>
          </w:p>
        </w:tc>
        <w:tc>
          <w:tcPr>
            <w:tcW w:w="1444" w:type="dxa"/>
          </w:tcPr>
          <w:p w:rsidR="00EF24A6" w:rsidRDefault="00F50B94" w:rsidP="00F50B94">
            <w:pPr>
              <w:rPr>
                <w:sz w:val="22"/>
              </w:rPr>
            </w:pPr>
            <w:r>
              <w:rPr>
                <w:sz w:val="22"/>
              </w:rPr>
              <w:t xml:space="preserve">       1,499</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 xml:space="preserve">   </w:t>
            </w:r>
            <w:r w:rsidR="00F50B94">
              <w:rPr>
                <w:sz w:val="22"/>
              </w:rPr>
              <w:t>8</w:t>
            </w:r>
            <w:r w:rsidR="00525C59">
              <w:rPr>
                <w:sz w:val="22"/>
              </w:rPr>
              <w:t>99</w:t>
            </w:r>
          </w:p>
        </w:tc>
        <w:tc>
          <w:tcPr>
            <w:tcW w:w="1799" w:type="dxa"/>
          </w:tcPr>
          <w:p w:rsidR="00EF24A6" w:rsidRDefault="00EF24A6" w:rsidP="00F50B94">
            <w:pPr>
              <w:jc w:val="center"/>
              <w:rPr>
                <w:sz w:val="22"/>
              </w:rPr>
            </w:pPr>
            <w:r>
              <w:rPr>
                <w:sz w:val="22"/>
              </w:rPr>
              <w:t xml:space="preserve">  </w:t>
            </w:r>
            <w:r w:rsidR="00F50B94">
              <w:rPr>
                <w:sz w:val="22"/>
              </w:rPr>
              <w:t>1,499</w:t>
            </w: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r>
              <w:rPr>
                <w:sz w:val="22"/>
              </w:rPr>
              <w:t>-</w:t>
            </w:r>
          </w:p>
        </w:tc>
        <w:tc>
          <w:tcPr>
            <w:tcW w:w="2435" w:type="dxa"/>
            <w:gridSpan w:val="2"/>
          </w:tcPr>
          <w:p w:rsidR="00EF24A6" w:rsidRDefault="00EF24A6" w:rsidP="00282096">
            <w:pPr>
              <w:jc w:val="both"/>
              <w:rPr>
                <w:sz w:val="22"/>
              </w:rPr>
            </w:pPr>
            <w:r>
              <w:rPr>
                <w:sz w:val="22"/>
              </w:rPr>
              <w:t>Under/(Over) provision in prior years</w:t>
            </w:r>
          </w:p>
        </w:tc>
        <w:tc>
          <w:tcPr>
            <w:tcW w:w="1435" w:type="dxa"/>
          </w:tcPr>
          <w:p w:rsidR="00EF24A6" w:rsidRDefault="00EF24A6" w:rsidP="00282096">
            <w:pPr>
              <w:jc w:val="center"/>
              <w:rPr>
                <w:sz w:val="22"/>
              </w:rPr>
            </w:pPr>
            <w:r>
              <w:rPr>
                <w:sz w:val="22"/>
              </w:rPr>
              <w:t>-</w:t>
            </w:r>
          </w:p>
        </w:tc>
        <w:tc>
          <w:tcPr>
            <w:tcW w:w="1444" w:type="dxa"/>
          </w:tcPr>
          <w:p w:rsidR="00EF24A6" w:rsidRDefault="00EF24A6" w:rsidP="00282096">
            <w:pPr>
              <w:jc w:val="center"/>
              <w:rPr>
                <w:sz w:val="22"/>
              </w:rPr>
            </w:pPr>
            <w:r>
              <w:rPr>
                <w:sz w:val="22"/>
              </w:rPr>
              <w:t>-</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w:t>
            </w:r>
          </w:p>
        </w:tc>
        <w:tc>
          <w:tcPr>
            <w:tcW w:w="1799" w:type="dxa"/>
          </w:tcPr>
          <w:p w:rsidR="00EF24A6" w:rsidRDefault="00EF24A6" w:rsidP="00282096">
            <w:pPr>
              <w:jc w:val="center"/>
              <w:rPr>
                <w:sz w:val="22"/>
              </w:rPr>
            </w:pPr>
            <w:r>
              <w:rPr>
                <w:sz w:val="22"/>
              </w:rPr>
              <w:t>-</w:t>
            </w: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r>
              <w:rPr>
                <w:sz w:val="22"/>
              </w:rPr>
              <w:t>-</w:t>
            </w:r>
          </w:p>
        </w:tc>
        <w:tc>
          <w:tcPr>
            <w:tcW w:w="2435" w:type="dxa"/>
            <w:gridSpan w:val="2"/>
          </w:tcPr>
          <w:p w:rsidR="00EF24A6" w:rsidRDefault="00EF24A6" w:rsidP="00282096">
            <w:pPr>
              <w:jc w:val="both"/>
              <w:rPr>
                <w:sz w:val="22"/>
              </w:rPr>
            </w:pPr>
            <w:r>
              <w:rPr>
                <w:sz w:val="22"/>
              </w:rPr>
              <w:t>Deferred Tax</w:t>
            </w:r>
          </w:p>
        </w:tc>
        <w:tc>
          <w:tcPr>
            <w:tcW w:w="1435" w:type="dxa"/>
          </w:tcPr>
          <w:p w:rsidR="00EF24A6" w:rsidRDefault="00F50B94" w:rsidP="00D50458">
            <w:pPr>
              <w:jc w:val="center"/>
              <w:rPr>
                <w:sz w:val="22"/>
              </w:rPr>
            </w:pPr>
            <w:r>
              <w:rPr>
                <w:sz w:val="22"/>
              </w:rPr>
              <w:t>-</w:t>
            </w:r>
          </w:p>
        </w:tc>
        <w:tc>
          <w:tcPr>
            <w:tcW w:w="1444" w:type="dxa"/>
          </w:tcPr>
          <w:p w:rsidR="00EF24A6" w:rsidRDefault="00F50B94" w:rsidP="00282096">
            <w:pPr>
              <w:jc w:val="center"/>
              <w:rPr>
                <w:sz w:val="22"/>
              </w:rPr>
            </w:pPr>
            <w:r>
              <w:rPr>
                <w:sz w:val="22"/>
              </w:rPr>
              <w:t>25</w:t>
            </w:r>
          </w:p>
        </w:tc>
        <w:tc>
          <w:tcPr>
            <w:tcW w:w="90" w:type="dxa"/>
          </w:tcPr>
          <w:p w:rsidR="00EF24A6" w:rsidRDefault="00EF24A6" w:rsidP="00282096">
            <w:pPr>
              <w:jc w:val="center"/>
              <w:rPr>
                <w:sz w:val="22"/>
              </w:rPr>
            </w:pPr>
          </w:p>
        </w:tc>
        <w:tc>
          <w:tcPr>
            <w:tcW w:w="1349" w:type="dxa"/>
          </w:tcPr>
          <w:p w:rsidR="00EF24A6" w:rsidRDefault="00F50B94" w:rsidP="009A7FDA">
            <w:pPr>
              <w:jc w:val="center"/>
              <w:rPr>
                <w:sz w:val="22"/>
              </w:rPr>
            </w:pPr>
            <w:r>
              <w:rPr>
                <w:sz w:val="22"/>
              </w:rPr>
              <w:t xml:space="preserve"> -</w:t>
            </w:r>
          </w:p>
        </w:tc>
        <w:tc>
          <w:tcPr>
            <w:tcW w:w="1799" w:type="dxa"/>
          </w:tcPr>
          <w:p w:rsidR="00EF24A6" w:rsidRDefault="00EF24A6" w:rsidP="00282096">
            <w:pPr>
              <w:jc w:val="center"/>
              <w:rPr>
                <w:sz w:val="22"/>
              </w:rPr>
            </w:pPr>
            <w:r>
              <w:rPr>
                <w:sz w:val="22"/>
              </w:rPr>
              <w:t xml:space="preserve">    </w:t>
            </w:r>
            <w:r w:rsidR="006C631F">
              <w:rPr>
                <w:sz w:val="22"/>
              </w:rPr>
              <w:t xml:space="preserve">  </w:t>
            </w:r>
            <w:r w:rsidR="00F50B94">
              <w:rPr>
                <w:sz w:val="22"/>
              </w:rPr>
              <w:t>25</w:t>
            </w: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p>
        </w:tc>
        <w:tc>
          <w:tcPr>
            <w:tcW w:w="2435" w:type="dxa"/>
            <w:gridSpan w:val="2"/>
          </w:tcPr>
          <w:p w:rsidR="00EF24A6" w:rsidRDefault="00EF24A6" w:rsidP="00282096">
            <w:pPr>
              <w:jc w:val="both"/>
              <w:rPr>
                <w:sz w:val="22"/>
              </w:rPr>
            </w:pPr>
          </w:p>
        </w:tc>
        <w:tc>
          <w:tcPr>
            <w:tcW w:w="1435" w:type="dxa"/>
            <w:tcBorders>
              <w:bottom w:val="single" w:sz="4" w:space="0" w:color="auto"/>
            </w:tcBorders>
          </w:tcPr>
          <w:p w:rsidR="00EF24A6" w:rsidRDefault="00EF24A6" w:rsidP="00282096">
            <w:pPr>
              <w:jc w:val="center"/>
              <w:rPr>
                <w:sz w:val="22"/>
              </w:rPr>
            </w:pPr>
          </w:p>
        </w:tc>
        <w:tc>
          <w:tcPr>
            <w:tcW w:w="1444" w:type="dxa"/>
            <w:tcBorders>
              <w:bottom w:val="single" w:sz="4" w:space="0" w:color="auto"/>
            </w:tcBorders>
          </w:tcPr>
          <w:p w:rsidR="00EF24A6" w:rsidRDefault="00EF24A6" w:rsidP="00282096">
            <w:pPr>
              <w:jc w:val="center"/>
              <w:rPr>
                <w:sz w:val="22"/>
              </w:rPr>
            </w:pPr>
          </w:p>
        </w:tc>
        <w:tc>
          <w:tcPr>
            <w:tcW w:w="90" w:type="dxa"/>
          </w:tcPr>
          <w:p w:rsidR="00EF24A6" w:rsidRDefault="00EF24A6" w:rsidP="00282096">
            <w:pPr>
              <w:jc w:val="center"/>
              <w:rPr>
                <w:sz w:val="22"/>
              </w:rPr>
            </w:pPr>
          </w:p>
        </w:tc>
        <w:tc>
          <w:tcPr>
            <w:tcW w:w="1349" w:type="dxa"/>
            <w:tcBorders>
              <w:bottom w:val="single" w:sz="4" w:space="0" w:color="auto"/>
            </w:tcBorders>
          </w:tcPr>
          <w:p w:rsidR="00EF24A6" w:rsidRDefault="00EF24A6" w:rsidP="00282096">
            <w:pPr>
              <w:jc w:val="center"/>
              <w:rPr>
                <w:sz w:val="22"/>
              </w:rPr>
            </w:pPr>
          </w:p>
        </w:tc>
        <w:tc>
          <w:tcPr>
            <w:tcW w:w="1799" w:type="dxa"/>
            <w:tcBorders>
              <w:bottom w:val="single" w:sz="4" w:space="0" w:color="auto"/>
            </w:tcBorders>
          </w:tcPr>
          <w:p w:rsidR="00EF24A6" w:rsidRDefault="00EF24A6" w:rsidP="00282096">
            <w:pPr>
              <w:jc w:val="center"/>
              <w:rPr>
                <w:sz w:val="22"/>
              </w:rPr>
            </w:pPr>
          </w:p>
        </w:tc>
      </w:tr>
      <w:tr w:rsidR="00EF24A6" w:rsidTr="00282096">
        <w:trPr>
          <w:cantSplit/>
        </w:trPr>
        <w:tc>
          <w:tcPr>
            <w:tcW w:w="525" w:type="dxa"/>
            <w:gridSpan w:val="2"/>
          </w:tcPr>
          <w:p w:rsidR="00EF24A6" w:rsidRDefault="00EF24A6" w:rsidP="00282096">
            <w:pPr>
              <w:jc w:val="right"/>
              <w:rPr>
                <w:sz w:val="22"/>
              </w:rPr>
            </w:pPr>
          </w:p>
        </w:tc>
        <w:tc>
          <w:tcPr>
            <w:tcW w:w="297" w:type="dxa"/>
          </w:tcPr>
          <w:p w:rsidR="00EF24A6" w:rsidRDefault="00EF24A6" w:rsidP="00282096">
            <w:pPr>
              <w:jc w:val="both"/>
              <w:rPr>
                <w:sz w:val="22"/>
              </w:rPr>
            </w:pPr>
          </w:p>
        </w:tc>
        <w:tc>
          <w:tcPr>
            <w:tcW w:w="2435" w:type="dxa"/>
            <w:gridSpan w:val="2"/>
          </w:tcPr>
          <w:p w:rsidR="00EF24A6" w:rsidRDefault="00EF24A6" w:rsidP="00282096">
            <w:pPr>
              <w:jc w:val="both"/>
              <w:rPr>
                <w:sz w:val="22"/>
              </w:rPr>
            </w:pPr>
          </w:p>
        </w:tc>
        <w:tc>
          <w:tcPr>
            <w:tcW w:w="1435" w:type="dxa"/>
            <w:tcBorders>
              <w:top w:val="single" w:sz="4" w:space="0" w:color="auto"/>
              <w:bottom w:val="single" w:sz="4" w:space="0" w:color="auto"/>
            </w:tcBorders>
          </w:tcPr>
          <w:p w:rsidR="00EF24A6" w:rsidRDefault="00070295" w:rsidP="00D50458">
            <w:pPr>
              <w:jc w:val="center"/>
              <w:rPr>
                <w:sz w:val="22"/>
              </w:rPr>
            </w:pPr>
            <w:r>
              <w:rPr>
                <w:sz w:val="22"/>
              </w:rPr>
              <w:t xml:space="preserve"> </w:t>
            </w:r>
            <w:r w:rsidR="00F50B94">
              <w:rPr>
                <w:sz w:val="22"/>
              </w:rPr>
              <w:t>899</w:t>
            </w:r>
          </w:p>
        </w:tc>
        <w:tc>
          <w:tcPr>
            <w:tcW w:w="1444" w:type="dxa"/>
            <w:tcBorders>
              <w:top w:val="single" w:sz="4" w:space="0" w:color="auto"/>
              <w:bottom w:val="single" w:sz="4" w:space="0" w:color="auto"/>
            </w:tcBorders>
          </w:tcPr>
          <w:p w:rsidR="00EF24A6" w:rsidRDefault="00F50B94" w:rsidP="00282096">
            <w:pPr>
              <w:jc w:val="center"/>
              <w:rPr>
                <w:sz w:val="22"/>
              </w:rPr>
            </w:pPr>
            <w:r>
              <w:rPr>
                <w:sz w:val="22"/>
              </w:rPr>
              <w:t>1,524</w:t>
            </w:r>
          </w:p>
        </w:tc>
        <w:tc>
          <w:tcPr>
            <w:tcW w:w="90" w:type="dxa"/>
          </w:tcPr>
          <w:p w:rsidR="00EF24A6" w:rsidRDefault="00EF24A6" w:rsidP="00282096">
            <w:pPr>
              <w:jc w:val="center"/>
              <w:rPr>
                <w:sz w:val="22"/>
              </w:rPr>
            </w:pPr>
          </w:p>
        </w:tc>
        <w:tc>
          <w:tcPr>
            <w:tcW w:w="1349" w:type="dxa"/>
            <w:tcBorders>
              <w:top w:val="single" w:sz="4" w:space="0" w:color="auto"/>
              <w:bottom w:val="single" w:sz="4" w:space="0" w:color="auto"/>
            </w:tcBorders>
          </w:tcPr>
          <w:p w:rsidR="00EF24A6" w:rsidRDefault="009A7FDA" w:rsidP="00F50B94">
            <w:pPr>
              <w:jc w:val="center"/>
              <w:rPr>
                <w:sz w:val="22"/>
              </w:rPr>
            </w:pPr>
            <w:r>
              <w:rPr>
                <w:sz w:val="22"/>
              </w:rPr>
              <w:t xml:space="preserve">    </w:t>
            </w:r>
            <w:r w:rsidR="00F50B94">
              <w:rPr>
                <w:sz w:val="22"/>
              </w:rPr>
              <w:t>899</w:t>
            </w:r>
          </w:p>
        </w:tc>
        <w:tc>
          <w:tcPr>
            <w:tcW w:w="1799" w:type="dxa"/>
            <w:tcBorders>
              <w:top w:val="single" w:sz="4" w:space="0" w:color="auto"/>
              <w:bottom w:val="single" w:sz="4" w:space="0" w:color="auto"/>
            </w:tcBorders>
          </w:tcPr>
          <w:p w:rsidR="00EF24A6" w:rsidRDefault="00EF24A6" w:rsidP="00F50B94">
            <w:pPr>
              <w:jc w:val="center"/>
              <w:rPr>
                <w:sz w:val="22"/>
              </w:rPr>
            </w:pPr>
            <w:r>
              <w:rPr>
                <w:sz w:val="22"/>
              </w:rPr>
              <w:t xml:space="preserve">    </w:t>
            </w:r>
            <w:r w:rsidR="00F50B94">
              <w:rPr>
                <w:sz w:val="22"/>
              </w:rPr>
              <w:t>1,524</w:t>
            </w:r>
          </w:p>
        </w:tc>
      </w:tr>
      <w:tr w:rsidR="00044C46" w:rsidTr="00282096">
        <w:tc>
          <w:tcPr>
            <w:tcW w:w="525" w:type="dxa"/>
            <w:gridSpan w:val="2"/>
          </w:tcPr>
          <w:p w:rsidR="00044C46" w:rsidRDefault="00044C46" w:rsidP="00282096">
            <w:pPr>
              <w:jc w:val="right"/>
              <w:rPr>
                <w:sz w:val="22"/>
              </w:rPr>
            </w:pPr>
          </w:p>
        </w:tc>
        <w:tc>
          <w:tcPr>
            <w:tcW w:w="8849" w:type="dxa"/>
            <w:gridSpan w:val="8"/>
          </w:tcPr>
          <w:p w:rsidR="00044C46" w:rsidRDefault="00044C46" w:rsidP="00282096">
            <w:pPr>
              <w:rPr>
                <w:sz w:val="22"/>
              </w:rPr>
            </w:pPr>
          </w:p>
        </w:tc>
      </w:tr>
      <w:tr w:rsidR="003B1280" w:rsidTr="00282096">
        <w:tc>
          <w:tcPr>
            <w:tcW w:w="525" w:type="dxa"/>
            <w:gridSpan w:val="2"/>
          </w:tcPr>
          <w:p w:rsidR="003B1280" w:rsidRDefault="003B1280" w:rsidP="00475337">
            <w:pPr>
              <w:rPr>
                <w:sz w:val="22"/>
              </w:rPr>
            </w:pPr>
          </w:p>
        </w:tc>
        <w:tc>
          <w:tcPr>
            <w:tcW w:w="8849" w:type="dxa"/>
            <w:gridSpan w:val="8"/>
          </w:tcPr>
          <w:p w:rsidR="003B1280" w:rsidRDefault="003B1280" w:rsidP="00282096">
            <w:pPr>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4</w:t>
            </w:r>
            <w:r>
              <w:rPr>
                <w:sz w:val="22"/>
              </w:rPr>
              <w:t>.</w:t>
            </w:r>
          </w:p>
        </w:tc>
        <w:tc>
          <w:tcPr>
            <w:tcW w:w="8849" w:type="dxa"/>
            <w:gridSpan w:val="8"/>
          </w:tcPr>
          <w:p w:rsidR="00EF24A6" w:rsidRDefault="00EF24A6" w:rsidP="00282096">
            <w:pPr>
              <w:rPr>
                <w:sz w:val="22"/>
              </w:rPr>
            </w:pPr>
            <w:r>
              <w:rPr>
                <w:sz w:val="22"/>
              </w:rPr>
              <w:t>Sale of Unquoted Investment and Properties</w:t>
            </w:r>
          </w:p>
        </w:tc>
      </w:tr>
      <w:tr w:rsidR="00EF24A6" w:rsidTr="00282096">
        <w:trPr>
          <w:trHeight w:val="279"/>
        </w:trPr>
        <w:tc>
          <w:tcPr>
            <w:tcW w:w="525" w:type="dxa"/>
            <w:gridSpan w:val="2"/>
          </w:tcPr>
          <w:p w:rsidR="00EF24A6" w:rsidRDefault="00EF24A6" w:rsidP="00282096">
            <w:pPr>
              <w:jc w:val="right"/>
              <w:rPr>
                <w:sz w:val="22"/>
              </w:rPr>
            </w:pPr>
          </w:p>
        </w:tc>
        <w:tc>
          <w:tcPr>
            <w:tcW w:w="8849" w:type="dxa"/>
            <w:gridSpan w:val="8"/>
          </w:tcPr>
          <w:p w:rsidR="00EF24A6" w:rsidRDefault="00EF24A6" w:rsidP="00F50B94">
            <w:pPr>
              <w:jc w:val="both"/>
              <w:rPr>
                <w:sz w:val="22"/>
              </w:rPr>
            </w:pPr>
            <w:r>
              <w:rPr>
                <w:sz w:val="22"/>
              </w:rPr>
              <w:t xml:space="preserve">There was no sale of unquoted investments and/or properties for the financial </w:t>
            </w:r>
            <w:r w:rsidR="00D2771E">
              <w:rPr>
                <w:sz w:val="22"/>
              </w:rPr>
              <w:t>period</w:t>
            </w:r>
            <w:r>
              <w:rPr>
                <w:sz w:val="22"/>
              </w:rPr>
              <w:t xml:space="preserve"> ended 3</w:t>
            </w:r>
            <w:r w:rsidR="00A17254">
              <w:rPr>
                <w:sz w:val="22"/>
              </w:rPr>
              <w:t>1</w:t>
            </w:r>
            <w:r w:rsidR="00283C00">
              <w:rPr>
                <w:sz w:val="22"/>
              </w:rPr>
              <w:t xml:space="preserve"> </w:t>
            </w:r>
            <w:r w:rsidR="00D2771E">
              <w:rPr>
                <w:sz w:val="22"/>
              </w:rPr>
              <w:t>March 201</w:t>
            </w:r>
            <w:r w:rsidR="00F50B94">
              <w:rPr>
                <w:sz w:val="22"/>
              </w:rPr>
              <w:t>4</w:t>
            </w:r>
            <w:r w:rsidR="00480E69">
              <w:rPr>
                <w:sz w:val="22"/>
              </w:rPr>
              <w:t>.</w:t>
            </w:r>
          </w:p>
        </w:tc>
      </w:tr>
      <w:tr w:rsidR="00EF24A6" w:rsidTr="00282096">
        <w:trPr>
          <w:trHeight w:val="247"/>
        </w:trPr>
        <w:tc>
          <w:tcPr>
            <w:tcW w:w="525" w:type="dxa"/>
            <w:gridSpan w:val="2"/>
          </w:tcPr>
          <w:p w:rsidR="00EF24A6" w:rsidRDefault="00EF24A6" w:rsidP="00282096">
            <w:pPr>
              <w:jc w:val="right"/>
              <w:rPr>
                <w:sz w:val="22"/>
              </w:rPr>
            </w:pPr>
          </w:p>
        </w:tc>
        <w:tc>
          <w:tcPr>
            <w:tcW w:w="8849" w:type="dxa"/>
            <w:gridSpan w:val="8"/>
          </w:tcPr>
          <w:p w:rsidR="00F303FC" w:rsidRDefault="00F303FC" w:rsidP="00282096">
            <w:pPr>
              <w:jc w:val="both"/>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5</w:t>
            </w:r>
            <w:r>
              <w:rPr>
                <w:sz w:val="22"/>
              </w:rPr>
              <w:t>.</w:t>
            </w:r>
          </w:p>
        </w:tc>
        <w:tc>
          <w:tcPr>
            <w:tcW w:w="8849" w:type="dxa"/>
            <w:gridSpan w:val="8"/>
          </w:tcPr>
          <w:p w:rsidR="00EF24A6" w:rsidRDefault="00EF24A6" w:rsidP="00282096">
            <w:pPr>
              <w:jc w:val="both"/>
              <w:rPr>
                <w:sz w:val="22"/>
              </w:rPr>
            </w:pPr>
            <w:r>
              <w:rPr>
                <w:sz w:val="22"/>
              </w:rPr>
              <w:t>Quoted securities</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rPr>
                <w:sz w:val="22"/>
              </w:rPr>
            </w:pPr>
            <w:r>
              <w:rPr>
                <w:sz w:val="22"/>
              </w:rPr>
              <w:t>(</w:t>
            </w:r>
            <w:proofErr w:type="spellStart"/>
            <w:r>
              <w:rPr>
                <w:sz w:val="22"/>
              </w:rPr>
              <w:t>i</w:t>
            </w:r>
            <w:proofErr w:type="spellEnd"/>
            <w:r>
              <w:rPr>
                <w:sz w:val="22"/>
              </w:rPr>
              <w:t>) There were no purchases or sales of quoted securities for the financial period under review.</w:t>
            </w:r>
          </w:p>
          <w:p w:rsidR="00EF24A6" w:rsidRDefault="00EF24A6" w:rsidP="00282096">
            <w:pPr>
              <w:rPr>
                <w:sz w:val="22"/>
              </w:rPr>
            </w:pPr>
            <w:r>
              <w:rPr>
                <w:sz w:val="22"/>
              </w:rPr>
              <w:t>(ii) There were no investments in quoted securities as at 3</w:t>
            </w:r>
            <w:r w:rsidR="00A17254">
              <w:rPr>
                <w:sz w:val="22"/>
              </w:rPr>
              <w:t xml:space="preserve">1 </w:t>
            </w:r>
            <w:r w:rsidR="00F50B94">
              <w:rPr>
                <w:sz w:val="22"/>
              </w:rPr>
              <w:t>March 2014</w:t>
            </w:r>
            <w:r>
              <w:rPr>
                <w:sz w:val="22"/>
              </w:rPr>
              <w:t>.</w:t>
            </w:r>
          </w:p>
          <w:p w:rsidR="00EF24A6" w:rsidRDefault="00EF24A6" w:rsidP="00282096">
            <w:pPr>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6</w:t>
            </w:r>
            <w:r>
              <w:rPr>
                <w:sz w:val="22"/>
              </w:rPr>
              <w:t>.</w:t>
            </w:r>
          </w:p>
        </w:tc>
        <w:tc>
          <w:tcPr>
            <w:tcW w:w="8849" w:type="dxa"/>
            <w:gridSpan w:val="8"/>
          </w:tcPr>
          <w:p w:rsidR="00EF24A6" w:rsidRDefault="00EF24A6" w:rsidP="00282096">
            <w:pPr>
              <w:rPr>
                <w:sz w:val="22"/>
              </w:rPr>
            </w:pPr>
            <w:r>
              <w:rPr>
                <w:sz w:val="22"/>
              </w:rPr>
              <w:t>Corporate Proposals</w:t>
            </w:r>
          </w:p>
        </w:tc>
      </w:tr>
      <w:tr w:rsidR="00EF24A6" w:rsidTr="00282096">
        <w:tc>
          <w:tcPr>
            <w:tcW w:w="525" w:type="dxa"/>
            <w:gridSpan w:val="2"/>
          </w:tcPr>
          <w:p w:rsidR="00EF24A6" w:rsidRDefault="00EF24A6" w:rsidP="00282096">
            <w:pPr>
              <w:jc w:val="right"/>
              <w:rPr>
                <w:sz w:val="22"/>
              </w:rPr>
            </w:pPr>
          </w:p>
        </w:tc>
        <w:tc>
          <w:tcPr>
            <w:tcW w:w="8849" w:type="dxa"/>
            <w:gridSpan w:val="8"/>
          </w:tcPr>
          <w:p w:rsidR="00EF24A6" w:rsidRDefault="00EF24A6" w:rsidP="00282096">
            <w:pPr>
              <w:rPr>
                <w:sz w:val="22"/>
              </w:rPr>
            </w:pPr>
            <w:r>
              <w:rPr>
                <w:sz w:val="22"/>
              </w:rPr>
              <w:t>There were no outstanding corporate proposals at the date of issue of this quarterly report.</w:t>
            </w:r>
          </w:p>
        </w:tc>
      </w:tr>
      <w:tr w:rsidR="00EF24A6" w:rsidTr="00282096">
        <w:trPr>
          <w:cantSplit/>
        </w:trPr>
        <w:tc>
          <w:tcPr>
            <w:tcW w:w="525" w:type="dxa"/>
            <w:gridSpan w:val="2"/>
          </w:tcPr>
          <w:p w:rsidR="00EF24A6" w:rsidRDefault="00EF24A6" w:rsidP="008008C6">
            <w:pPr>
              <w:rPr>
                <w:sz w:val="22"/>
              </w:rPr>
            </w:pPr>
          </w:p>
        </w:tc>
        <w:tc>
          <w:tcPr>
            <w:tcW w:w="8849" w:type="dxa"/>
            <w:gridSpan w:val="8"/>
          </w:tcPr>
          <w:p w:rsidR="00EF24A6" w:rsidRDefault="00EF24A6" w:rsidP="00282096">
            <w:pPr>
              <w:jc w:val="both"/>
              <w:rPr>
                <w:sz w:val="22"/>
              </w:rPr>
            </w:pPr>
          </w:p>
        </w:tc>
      </w:tr>
      <w:tr w:rsidR="00EF24A6" w:rsidTr="00282096">
        <w:trPr>
          <w:cantSplit/>
        </w:trPr>
        <w:tc>
          <w:tcPr>
            <w:tcW w:w="525" w:type="dxa"/>
            <w:gridSpan w:val="2"/>
          </w:tcPr>
          <w:p w:rsidR="00EF24A6" w:rsidRDefault="00EF24A6" w:rsidP="00282096">
            <w:pPr>
              <w:jc w:val="right"/>
              <w:rPr>
                <w:sz w:val="22"/>
              </w:rPr>
            </w:pPr>
            <w:r>
              <w:rPr>
                <w:sz w:val="22"/>
              </w:rPr>
              <w:t>2</w:t>
            </w:r>
            <w:r w:rsidR="00545CCD">
              <w:rPr>
                <w:sz w:val="22"/>
              </w:rPr>
              <w:t>7</w:t>
            </w:r>
            <w:r>
              <w:rPr>
                <w:sz w:val="22"/>
              </w:rPr>
              <w:t>.</w:t>
            </w:r>
          </w:p>
        </w:tc>
        <w:tc>
          <w:tcPr>
            <w:tcW w:w="8849" w:type="dxa"/>
            <w:gridSpan w:val="8"/>
          </w:tcPr>
          <w:p w:rsidR="00EF24A6" w:rsidRDefault="00EF24A6" w:rsidP="00282096">
            <w:pPr>
              <w:jc w:val="both"/>
              <w:rPr>
                <w:sz w:val="22"/>
              </w:rPr>
            </w:pPr>
            <w:r>
              <w:rPr>
                <w:sz w:val="22"/>
              </w:rPr>
              <w:t>Borrowing</w:t>
            </w:r>
          </w:p>
        </w:tc>
      </w:tr>
      <w:tr w:rsidR="00EF24A6" w:rsidTr="00282096">
        <w:trPr>
          <w:cantSplit/>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r>
              <w:rPr>
                <w:sz w:val="22"/>
              </w:rPr>
              <w:t>There were no group borrowings and debt securities as at the end of the reporting period.</w:t>
            </w:r>
          </w:p>
        </w:tc>
      </w:tr>
      <w:tr w:rsidR="00EF24A6" w:rsidTr="00282096">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c>
          <w:tcPr>
            <w:tcW w:w="525" w:type="dxa"/>
            <w:gridSpan w:val="2"/>
          </w:tcPr>
          <w:p w:rsidR="00EF24A6" w:rsidRDefault="00EF24A6" w:rsidP="00282096">
            <w:pPr>
              <w:jc w:val="right"/>
              <w:rPr>
                <w:sz w:val="22"/>
              </w:rPr>
            </w:pPr>
            <w:r>
              <w:rPr>
                <w:sz w:val="22"/>
              </w:rPr>
              <w:t>2</w:t>
            </w:r>
            <w:r w:rsidR="00545CCD">
              <w:rPr>
                <w:sz w:val="22"/>
              </w:rPr>
              <w:t>8</w:t>
            </w:r>
            <w:r>
              <w:rPr>
                <w:sz w:val="22"/>
              </w:rPr>
              <w:t>.</w:t>
            </w:r>
          </w:p>
        </w:tc>
        <w:tc>
          <w:tcPr>
            <w:tcW w:w="8849" w:type="dxa"/>
            <w:gridSpan w:val="8"/>
          </w:tcPr>
          <w:p w:rsidR="00EF24A6" w:rsidRDefault="00EF24A6" w:rsidP="00282096">
            <w:pPr>
              <w:jc w:val="both"/>
              <w:rPr>
                <w:sz w:val="22"/>
              </w:rPr>
            </w:pPr>
            <w:r>
              <w:rPr>
                <w:sz w:val="22"/>
              </w:rPr>
              <w:t>Off Balance Sheet Financial Instruments</w:t>
            </w:r>
          </w:p>
        </w:tc>
      </w:tr>
      <w:tr w:rsidR="00EF24A6" w:rsidTr="00282096">
        <w:tc>
          <w:tcPr>
            <w:tcW w:w="525" w:type="dxa"/>
            <w:gridSpan w:val="2"/>
          </w:tcPr>
          <w:p w:rsidR="00EF24A6" w:rsidRDefault="00EF24A6" w:rsidP="00282096">
            <w:pPr>
              <w:jc w:val="center"/>
              <w:rPr>
                <w:sz w:val="22"/>
              </w:rPr>
            </w:pPr>
          </w:p>
          <w:p w:rsidR="00EF24A6" w:rsidRDefault="00EF24A6" w:rsidP="00E14C1E">
            <w:pPr>
              <w:rPr>
                <w:sz w:val="22"/>
              </w:rPr>
            </w:pPr>
          </w:p>
        </w:tc>
        <w:tc>
          <w:tcPr>
            <w:tcW w:w="8849" w:type="dxa"/>
            <w:gridSpan w:val="8"/>
          </w:tcPr>
          <w:p w:rsidR="00EF24A6" w:rsidRDefault="00EF24A6" w:rsidP="00282096">
            <w:pPr>
              <w:jc w:val="both"/>
              <w:rPr>
                <w:sz w:val="22"/>
              </w:rPr>
            </w:pPr>
            <w:r>
              <w:rPr>
                <w:sz w:val="22"/>
              </w:rPr>
              <w:t>There were no off balance sheet financial instruments at the date of issue of this quarterly report.</w:t>
            </w:r>
          </w:p>
        </w:tc>
      </w:tr>
      <w:tr w:rsidR="00EF24A6" w:rsidTr="00282096">
        <w:tc>
          <w:tcPr>
            <w:tcW w:w="525" w:type="dxa"/>
            <w:gridSpan w:val="2"/>
          </w:tcPr>
          <w:p w:rsidR="00EF24A6" w:rsidRPr="003B1280" w:rsidRDefault="00EF24A6" w:rsidP="003B1280">
            <w:pPr>
              <w:jc w:val="right"/>
            </w:pPr>
            <w:r>
              <w:t xml:space="preserve"> </w:t>
            </w:r>
            <w:r>
              <w:br w:type="page"/>
            </w:r>
            <w:r w:rsidR="00545CCD">
              <w:t>29</w:t>
            </w:r>
            <w:r>
              <w:rPr>
                <w:sz w:val="22"/>
              </w:rPr>
              <w:t>.</w:t>
            </w:r>
          </w:p>
        </w:tc>
        <w:tc>
          <w:tcPr>
            <w:tcW w:w="8849" w:type="dxa"/>
            <w:gridSpan w:val="8"/>
          </w:tcPr>
          <w:p w:rsidR="00EF24A6" w:rsidRDefault="00EF24A6" w:rsidP="00282096">
            <w:pPr>
              <w:jc w:val="both"/>
              <w:rPr>
                <w:sz w:val="22"/>
              </w:rPr>
            </w:pPr>
            <w:r>
              <w:rPr>
                <w:sz w:val="22"/>
              </w:rPr>
              <w:t>Material Litigation</w:t>
            </w:r>
          </w:p>
          <w:p w:rsidR="00EF24A6" w:rsidRDefault="00EF24A6" w:rsidP="00282096">
            <w:pPr>
              <w:jc w:val="both"/>
              <w:rPr>
                <w:sz w:val="22"/>
              </w:rPr>
            </w:pPr>
            <w:r>
              <w:rPr>
                <w:sz w:val="22"/>
              </w:rPr>
              <w:t xml:space="preserve">There was no material litigation </w:t>
            </w:r>
            <w:r w:rsidR="005E392C">
              <w:rPr>
                <w:sz w:val="22"/>
              </w:rPr>
              <w:t xml:space="preserve">against the Group </w:t>
            </w:r>
            <w:r>
              <w:rPr>
                <w:sz w:val="22"/>
              </w:rPr>
              <w:t>for the quarter under review.</w:t>
            </w:r>
          </w:p>
          <w:p w:rsidR="00EF24A6" w:rsidRDefault="00EF24A6" w:rsidP="00282096">
            <w:pPr>
              <w:jc w:val="both"/>
              <w:rPr>
                <w:sz w:val="22"/>
              </w:rPr>
            </w:pPr>
          </w:p>
        </w:tc>
      </w:tr>
      <w:tr w:rsidR="00EF24A6" w:rsidTr="00282096">
        <w:tc>
          <w:tcPr>
            <w:tcW w:w="525" w:type="dxa"/>
            <w:gridSpan w:val="2"/>
          </w:tcPr>
          <w:p w:rsidR="00EF24A6" w:rsidRDefault="00C41E6B" w:rsidP="00282096">
            <w:pPr>
              <w:jc w:val="right"/>
              <w:rPr>
                <w:sz w:val="22"/>
              </w:rPr>
            </w:pPr>
            <w:r>
              <w:rPr>
                <w:sz w:val="22"/>
              </w:rPr>
              <w:t>3</w:t>
            </w:r>
            <w:r w:rsidR="00545CCD">
              <w:rPr>
                <w:sz w:val="22"/>
              </w:rPr>
              <w:t>0</w:t>
            </w:r>
            <w:r w:rsidR="00EF24A6">
              <w:rPr>
                <w:sz w:val="22"/>
              </w:rPr>
              <w:t>.</w:t>
            </w:r>
          </w:p>
        </w:tc>
        <w:tc>
          <w:tcPr>
            <w:tcW w:w="8849" w:type="dxa"/>
            <w:gridSpan w:val="8"/>
          </w:tcPr>
          <w:p w:rsidR="00EF24A6" w:rsidRDefault="00EF24A6" w:rsidP="00282096">
            <w:pPr>
              <w:jc w:val="both"/>
              <w:rPr>
                <w:sz w:val="22"/>
              </w:rPr>
            </w:pPr>
            <w:r>
              <w:rPr>
                <w:sz w:val="22"/>
              </w:rPr>
              <w:t>Dividend Payable</w:t>
            </w:r>
          </w:p>
        </w:tc>
      </w:tr>
      <w:tr w:rsidR="00EF24A6" w:rsidTr="00282096">
        <w:trPr>
          <w:trHeight w:val="562"/>
        </w:trPr>
        <w:tc>
          <w:tcPr>
            <w:tcW w:w="525" w:type="dxa"/>
            <w:gridSpan w:val="2"/>
          </w:tcPr>
          <w:p w:rsidR="00EF24A6" w:rsidRDefault="00EF24A6" w:rsidP="00282096">
            <w:pPr>
              <w:jc w:val="right"/>
              <w:rPr>
                <w:sz w:val="22"/>
              </w:rPr>
            </w:pPr>
          </w:p>
        </w:tc>
        <w:tc>
          <w:tcPr>
            <w:tcW w:w="8849" w:type="dxa"/>
            <w:gridSpan w:val="8"/>
          </w:tcPr>
          <w:p w:rsidR="00714081" w:rsidRDefault="00D2771E" w:rsidP="00E92059">
            <w:pPr>
              <w:tabs>
                <w:tab w:val="left" w:pos="540"/>
              </w:tabs>
              <w:ind w:left="24"/>
              <w:jc w:val="both"/>
              <w:rPr>
                <w:sz w:val="22"/>
              </w:rPr>
            </w:pPr>
            <w:r w:rsidRPr="003C62BA">
              <w:rPr>
                <w:sz w:val="22"/>
              </w:rPr>
              <w:t>No dividend has been proposed for the quarter under review.</w:t>
            </w:r>
          </w:p>
          <w:p w:rsidR="00714081" w:rsidRDefault="00714081"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p w:rsidR="00136CC8" w:rsidRDefault="00136CC8" w:rsidP="00E92059">
            <w:pPr>
              <w:tabs>
                <w:tab w:val="left" w:pos="540"/>
              </w:tabs>
              <w:ind w:left="24"/>
              <w:jc w:val="both"/>
              <w:rPr>
                <w:sz w:val="22"/>
              </w:rPr>
            </w:pPr>
            <w:bookmarkStart w:id="0" w:name="_GoBack"/>
            <w:bookmarkEnd w:id="0"/>
          </w:p>
          <w:p w:rsidR="00475337" w:rsidRDefault="00475337" w:rsidP="00E92059">
            <w:pPr>
              <w:tabs>
                <w:tab w:val="left" w:pos="540"/>
              </w:tabs>
              <w:ind w:left="24"/>
              <w:jc w:val="both"/>
              <w:rPr>
                <w:sz w:val="22"/>
              </w:rPr>
            </w:pPr>
          </w:p>
          <w:p w:rsidR="00475337" w:rsidRDefault="00475337" w:rsidP="00E92059">
            <w:pPr>
              <w:tabs>
                <w:tab w:val="left" w:pos="540"/>
              </w:tabs>
              <w:ind w:left="24"/>
              <w:jc w:val="both"/>
              <w:rPr>
                <w:sz w:val="22"/>
              </w:rPr>
            </w:pPr>
          </w:p>
        </w:tc>
      </w:tr>
      <w:tr w:rsidR="00EF24A6" w:rsidTr="00282096">
        <w:trPr>
          <w:cantSplit/>
          <w:trHeight w:val="211"/>
        </w:trPr>
        <w:tc>
          <w:tcPr>
            <w:tcW w:w="525" w:type="dxa"/>
            <w:gridSpan w:val="2"/>
          </w:tcPr>
          <w:p w:rsidR="00EF24A6" w:rsidRDefault="009E60DE" w:rsidP="00282096">
            <w:pPr>
              <w:jc w:val="right"/>
              <w:rPr>
                <w:sz w:val="22"/>
              </w:rPr>
            </w:pPr>
            <w:r>
              <w:rPr>
                <w:sz w:val="22"/>
              </w:rPr>
              <w:lastRenderedPageBreak/>
              <w:t>3</w:t>
            </w:r>
            <w:r w:rsidR="00545CCD">
              <w:rPr>
                <w:sz w:val="22"/>
              </w:rPr>
              <w:t>1</w:t>
            </w:r>
            <w:r w:rsidR="00EF24A6">
              <w:rPr>
                <w:sz w:val="22"/>
              </w:rPr>
              <w:t>.</w:t>
            </w:r>
          </w:p>
        </w:tc>
        <w:tc>
          <w:tcPr>
            <w:tcW w:w="8849" w:type="dxa"/>
            <w:gridSpan w:val="8"/>
          </w:tcPr>
          <w:p w:rsidR="00EF24A6" w:rsidRDefault="00EF24A6" w:rsidP="00282096">
            <w:pPr>
              <w:jc w:val="both"/>
              <w:rPr>
                <w:sz w:val="22"/>
              </w:rPr>
            </w:pPr>
            <w:r>
              <w:rPr>
                <w:sz w:val="22"/>
              </w:rPr>
              <w:t>Earnings Per Share</w:t>
            </w:r>
          </w:p>
        </w:tc>
      </w:tr>
      <w:tr w:rsidR="00EF24A6" w:rsidTr="00282096">
        <w:trPr>
          <w:cantSplit/>
          <w:trHeight w:val="211"/>
        </w:trPr>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r>
              <w:rPr>
                <w:sz w:val="22"/>
              </w:rPr>
              <w:t>Basic earnings per share amounts are calculated by dividing profit for the period attributable to ordinary equity holders of the parent by the number of ordinary shares in issue during the period.</w:t>
            </w:r>
          </w:p>
        </w:tc>
      </w:tr>
      <w:tr w:rsidR="00EF24A6" w:rsidTr="00282096">
        <w:tc>
          <w:tcPr>
            <w:tcW w:w="525" w:type="dxa"/>
            <w:gridSpan w:val="2"/>
          </w:tcPr>
          <w:p w:rsidR="00EF24A6" w:rsidRDefault="00EF24A6" w:rsidP="00282096">
            <w:pPr>
              <w:jc w:val="right"/>
              <w:rPr>
                <w:sz w:val="22"/>
              </w:rPr>
            </w:pPr>
          </w:p>
        </w:tc>
        <w:tc>
          <w:tcPr>
            <w:tcW w:w="8849" w:type="dxa"/>
            <w:gridSpan w:val="8"/>
            <w:vAlign w:val="bottom"/>
          </w:tcPr>
          <w:p w:rsidR="00EF24A6" w:rsidRDefault="00EF24A6" w:rsidP="00282096">
            <w:pPr>
              <w:jc w:val="center"/>
              <w:rPr>
                <w:sz w:val="22"/>
              </w:rPr>
            </w:pPr>
          </w:p>
        </w:tc>
      </w:tr>
      <w:tr w:rsidR="00EF24A6" w:rsidTr="00282096">
        <w:tc>
          <w:tcPr>
            <w:tcW w:w="525" w:type="dxa"/>
            <w:gridSpan w:val="2"/>
          </w:tcPr>
          <w:p w:rsidR="00EF24A6" w:rsidRDefault="00EF24A6" w:rsidP="00282096">
            <w:pPr>
              <w:jc w:val="right"/>
              <w:rPr>
                <w:sz w:val="22"/>
              </w:rPr>
            </w:pPr>
          </w:p>
        </w:tc>
        <w:tc>
          <w:tcPr>
            <w:tcW w:w="8849" w:type="dxa"/>
            <w:gridSpan w:val="8"/>
          </w:tcPr>
          <w:p w:rsidR="00EF24A6" w:rsidRDefault="00EF24A6" w:rsidP="00282096">
            <w:pPr>
              <w:jc w:val="both"/>
              <w:rPr>
                <w:sz w:val="22"/>
              </w:rPr>
            </w:pPr>
          </w:p>
        </w:tc>
      </w:tr>
      <w:tr w:rsidR="00EF24A6" w:rsidTr="00282096">
        <w:trPr>
          <w:cantSplit/>
          <w:trHeight w:val="823"/>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jc w:val="center"/>
              <w:rPr>
                <w:b/>
                <w:sz w:val="22"/>
              </w:rPr>
            </w:pPr>
            <w:r>
              <w:rPr>
                <w:b/>
                <w:sz w:val="22"/>
              </w:rPr>
              <w:t>Individual Quarter</w:t>
            </w:r>
          </w:p>
          <w:p w:rsidR="00EF24A6" w:rsidRDefault="00EF24A6" w:rsidP="00282096">
            <w:pPr>
              <w:jc w:val="center"/>
              <w:rPr>
                <w:sz w:val="22"/>
              </w:rPr>
            </w:pPr>
            <w:r>
              <w:rPr>
                <w:b/>
                <w:sz w:val="22"/>
              </w:rPr>
              <w:t>3 Months ended</w:t>
            </w:r>
          </w:p>
        </w:tc>
        <w:tc>
          <w:tcPr>
            <w:tcW w:w="90" w:type="dxa"/>
          </w:tcPr>
          <w:p w:rsidR="00EF24A6" w:rsidRDefault="00EF24A6" w:rsidP="00282096">
            <w:pPr>
              <w:jc w:val="center"/>
              <w:rPr>
                <w:sz w:val="22"/>
              </w:rPr>
            </w:pPr>
          </w:p>
        </w:tc>
        <w:tc>
          <w:tcPr>
            <w:tcW w:w="3148" w:type="dxa"/>
            <w:gridSpan w:val="2"/>
          </w:tcPr>
          <w:p w:rsidR="00EF24A6" w:rsidRDefault="00EF24A6" w:rsidP="00282096">
            <w:pPr>
              <w:jc w:val="center"/>
              <w:rPr>
                <w:b/>
                <w:sz w:val="22"/>
              </w:rPr>
            </w:pPr>
            <w:r>
              <w:rPr>
                <w:b/>
                <w:sz w:val="22"/>
              </w:rPr>
              <w:t>Cumulative Quarter</w:t>
            </w:r>
          </w:p>
          <w:p w:rsidR="00EF24A6" w:rsidRDefault="00EF24A6" w:rsidP="009A7FDA">
            <w:pPr>
              <w:jc w:val="center"/>
              <w:rPr>
                <w:b/>
                <w:sz w:val="22"/>
              </w:rPr>
            </w:pPr>
            <w:r>
              <w:rPr>
                <w:b/>
                <w:sz w:val="22"/>
              </w:rPr>
              <w:t xml:space="preserve"> </w:t>
            </w:r>
            <w:r w:rsidR="00D2771E">
              <w:rPr>
                <w:b/>
                <w:sz w:val="22"/>
              </w:rPr>
              <w:t xml:space="preserve"> 3</w:t>
            </w:r>
            <w:r>
              <w:rPr>
                <w:b/>
                <w:sz w:val="22"/>
              </w:rPr>
              <w:t xml:space="preserve"> Months ended </w:t>
            </w:r>
          </w:p>
        </w:tc>
      </w:tr>
      <w:tr w:rsidR="00237EB3" w:rsidTr="00282096">
        <w:trPr>
          <w:cantSplit/>
        </w:trPr>
        <w:tc>
          <w:tcPr>
            <w:tcW w:w="525" w:type="dxa"/>
            <w:gridSpan w:val="2"/>
          </w:tcPr>
          <w:p w:rsidR="00237EB3" w:rsidRDefault="00237EB3" w:rsidP="00282096">
            <w:pPr>
              <w:jc w:val="right"/>
              <w:rPr>
                <w:sz w:val="22"/>
              </w:rPr>
            </w:pPr>
          </w:p>
        </w:tc>
        <w:tc>
          <w:tcPr>
            <w:tcW w:w="2732" w:type="dxa"/>
            <w:gridSpan w:val="3"/>
          </w:tcPr>
          <w:p w:rsidR="00237EB3" w:rsidRDefault="00237EB3" w:rsidP="00282096">
            <w:pPr>
              <w:jc w:val="both"/>
              <w:rPr>
                <w:sz w:val="22"/>
              </w:rPr>
            </w:pPr>
          </w:p>
        </w:tc>
        <w:tc>
          <w:tcPr>
            <w:tcW w:w="1435" w:type="dxa"/>
          </w:tcPr>
          <w:p w:rsidR="00237EB3" w:rsidRDefault="00237EB3" w:rsidP="00183F00">
            <w:pPr>
              <w:jc w:val="center"/>
              <w:rPr>
                <w:sz w:val="22"/>
              </w:rPr>
            </w:pPr>
            <w:r>
              <w:rPr>
                <w:b/>
                <w:sz w:val="22"/>
              </w:rPr>
              <w:t xml:space="preserve">31 </w:t>
            </w:r>
            <w:r w:rsidR="00D2771E">
              <w:rPr>
                <w:b/>
                <w:sz w:val="22"/>
              </w:rPr>
              <w:t>Mar</w:t>
            </w:r>
            <w:r>
              <w:rPr>
                <w:b/>
                <w:sz w:val="22"/>
              </w:rPr>
              <w:t xml:space="preserve"> 201</w:t>
            </w:r>
            <w:r w:rsidR="00183F00">
              <w:rPr>
                <w:b/>
                <w:sz w:val="22"/>
              </w:rPr>
              <w:t>4</w:t>
            </w:r>
          </w:p>
        </w:tc>
        <w:tc>
          <w:tcPr>
            <w:tcW w:w="1444" w:type="dxa"/>
          </w:tcPr>
          <w:p w:rsidR="00237EB3" w:rsidRDefault="00237EB3" w:rsidP="00183F00">
            <w:pPr>
              <w:jc w:val="center"/>
              <w:rPr>
                <w:sz w:val="22"/>
              </w:rPr>
            </w:pPr>
            <w:r>
              <w:rPr>
                <w:b/>
                <w:sz w:val="22"/>
              </w:rPr>
              <w:t xml:space="preserve">31 </w:t>
            </w:r>
            <w:r w:rsidR="00D2771E">
              <w:rPr>
                <w:b/>
                <w:sz w:val="22"/>
              </w:rPr>
              <w:t>Mar 201</w:t>
            </w:r>
            <w:r w:rsidR="00183F00">
              <w:rPr>
                <w:b/>
                <w:sz w:val="22"/>
              </w:rPr>
              <w:t>3</w:t>
            </w:r>
          </w:p>
        </w:tc>
        <w:tc>
          <w:tcPr>
            <w:tcW w:w="90" w:type="dxa"/>
          </w:tcPr>
          <w:p w:rsidR="00237EB3" w:rsidRDefault="00237EB3" w:rsidP="00282096">
            <w:pPr>
              <w:jc w:val="center"/>
              <w:rPr>
                <w:b/>
                <w:bCs/>
                <w:sz w:val="22"/>
              </w:rPr>
            </w:pPr>
          </w:p>
        </w:tc>
        <w:tc>
          <w:tcPr>
            <w:tcW w:w="1349" w:type="dxa"/>
          </w:tcPr>
          <w:p w:rsidR="00237EB3" w:rsidRDefault="00237EB3" w:rsidP="00183F00">
            <w:pPr>
              <w:jc w:val="center"/>
              <w:rPr>
                <w:sz w:val="22"/>
              </w:rPr>
            </w:pPr>
            <w:r>
              <w:rPr>
                <w:b/>
                <w:sz w:val="22"/>
              </w:rPr>
              <w:t xml:space="preserve">31 </w:t>
            </w:r>
            <w:r w:rsidR="00D2771E">
              <w:rPr>
                <w:b/>
                <w:sz w:val="22"/>
              </w:rPr>
              <w:t>Mar</w:t>
            </w:r>
            <w:r>
              <w:rPr>
                <w:b/>
                <w:sz w:val="22"/>
              </w:rPr>
              <w:t xml:space="preserve"> 201</w:t>
            </w:r>
            <w:r w:rsidR="00183F00">
              <w:rPr>
                <w:b/>
                <w:sz w:val="22"/>
              </w:rPr>
              <w:t>4</w:t>
            </w:r>
          </w:p>
        </w:tc>
        <w:tc>
          <w:tcPr>
            <w:tcW w:w="1799" w:type="dxa"/>
          </w:tcPr>
          <w:p w:rsidR="00237EB3" w:rsidRDefault="00237EB3" w:rsidP="00183F00">
            <w:pPr>
              <w:jc w:val="center"/>
              <w:rPr>
                <w:sz w:val="22"/>
              </w:rPr>
            </w:pPr>
            <w:r>
              <w:rPr>
                <w:b/>
                <w:sz w:val="22"/>
              </w:rPr>
              <w:t xml:space="preserve">31 </w:t>
            </w:r>
            <w:r w:rsidR="00D2771E">
              <w:rPr>
                <w:b/>
                <w:sz w:val="22"/>
              </w:rPr>
              <w:t>Mar 201</w:t>
            </w:r>
            <w:r w:rsidR="00183F00">
              <w:rPr>
                <w:b/>
                <w:sz w:val="22"/>
              </w:rPr>
              <w:t>3</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jc w:val="center"/>
              <w:rPr>
                <w:sz w:val="22"/>
              </w:rPr>
            </w:pPr>
            <w:r>
              <w:rPr>
                <w:sz w:val="22"/>
              </w:rPr>
              <w:t>RM’000</w:t>
            </w:r>
          </w:p>
        </w:tc>
        <w:tc>
          <w:tcPr>
            <w:tcW w:w="1444" w:type="dxa"/>
          </w:tcPr>
          <w:p w:rsidR="00EF24A6" w:rsidRDefault="00EF24A6" w:rsidP="00282096">
            <w:pPr>
              <w:jc w:val="center"/>
              <w:rPr>
                <w:sz w:val="22"/>
              </w:rPr>
            </w:pPr>
            <w:r>
              <w:rPr>
                <w:sz w:val="22"/>
              </w:rPr>
              <w:t>RM’000</w:t>
            </w:r>
          </w:p>
        </w:tc>
        <w:tc>
          <w:tcPr>
            <w:tcW w:w="90" w:type="dxa"/>
          </w:tcPr>
          <w:p w:rsidR="00EF24A6" w:rsidRDefault="00EF24A6" w:rsidP="00282096">
            <w:pPr>
              <w:jc w:val="center"/>
              <w:rPr>
                <w:sz w:val="22"/>
              </w:rPr>
            </w:pPr>
          </w:p>
        </w:tc>
        <w:tc>
          <w:tcPr>
            <w:tcW w:w="1349" w:type="dxa"/>
          </w:tcPr>
          <w:p w:rsidR="00EF24A6" w:rsidRDefault="00EF24A6" w:rsidP="00282096">
            <w:pPr>
              <w:jc w:val="center"/>
              <w:rPr>
                <w:sz w:val="22"/>
              </w:rPr>
            </w:pPr>
            <w:r>
              <w:rPr>
                <w:sz w:val="22"/>
              </w:rPr>
              <w:t>RM’000</w:t>
            </w:r>
          </w:p>
        </w:tc>
        <w:tc>
          <w:tcPr>
            <w:tcW w:w="1799" w:type="dxa"/>
          </w:tcPr>
          <w:p w:rsidR="00EF24A6" w:rsidRDefault="00EF24A6" w:rsidP="00282096">
            <w:pPr>
              <w:jc w:val="center"/>
              <w:rPr>
                <w:sz w:val="22"/>
              </w:rPr>
            </w:pPr>
            <w:r>
              <w:rPr>
                <w:sz w:val="22"/>
              </w:rPr>
              <w:t>RM’000</w:t>
            </w:r>
          </w:p>
        </w:tc>
      </w:tr>
      <w:tr w:rsidR="00EF24A6" w:rsidTr="00282096">
        <w:trPr>
          <w:cantSplit/>
          <w:trHeight w:val="279"/>
        </w:trPr>
        <w:tc>
          <w:tcPr>
            <w:tcW w:w="525" w:type="dxa"/>
            <w:gridSpan w:val="2"/>
          </w:tcPr>
          <w:p w:rsidR="00EF24A6" w:rsidRDefault="00EF24A6" w:rsidP="00282096">
            <w:pPr>
              <w:jc w:val="right"/>
              <w:rPr>
                <w:sz w:val="22"/>
              </w:rPr>
            </w:pPr>
          </w:p>
        </w:tc>
        <w:tc>
          <w:tcPr>
            <w:tcW w:w="2732" w:type="dxa"/>
            <w:gridSpan w:val="3"/>
          </w:tcPr>
          <w:p w:rsidR="00EF24A6" w:rsidRDefault="00EF24A6" w:rsidP="00934FAB">
            <w:pPr>
              <w:jc w:val="both"/>
              <w:rPr>
                <w:sz w:val="22"/>
              </w:rPr>
            </w:pPr>
            <w:r>
              <w:rPr>
                <w:sz w:val="22"/>
              </w:rPr>
              <w:t xml:space="preserve">Profit </w:t>
            </w:r>
            <w:r w:rsidR="00934FAB">
              <w:rPr>
                <w:sz w:val="22"/>
              </w:rPr>
              <w:t xml:space="preserve">net of tax </w:t>
            </w:r>
            <w:r>
              <w:rPr>
                <w:sz w:val="22"/>
              </w:rPr>
              <w:t xml:space="preserve">attributable to </w:t>
            </w:r>
            <w:r w:rsidR="00934FAB">
              <w:rPr>
                <w:sz w:val="22"/>
              </w:rPr>
              <w:t xml:space="preserve">owners </w:t>
            </w:r>
            <w:r>
              <w:rPr>
                <w:sz w:val="22"/>
              </w:rPr>
              <w:t xml:space="preserve"> of the parent</w:t>
            </w:r>
            <w:r w:rsidR="00934FAB">
              <w:rPr>
                <w:sz w:val="22"/>
              </w:rPr>
              <w:t xml:space="preserve"> used in the computation of earnings per share</w:t>
            </w:r>
          </w:p>
        </w:tc>
        <w:tc>
          <w:tcPr>
            <w:tcW w:w="1435" w:type="dxa"/>
          </w:tcPr>
          <w:p w:rsidR="00EF24A6" w:rsidRDefault="00EF24A6" w:rsidP="00282096">
            <w:pPr>
              <w:ind w:right="254"/>
              <w:jc w:val="right"/>
              <w:rPr>
                <w:sz w:val="22"/>
              </w:rPr>
            </w:pPr>
          </w:p>
          <w:p w:rsidR="00934FAB" w:rsidRDefault="002D6200" w:rsidP="002D6200">
            <w:pPr>
              <w:ind w:right="254"/>
              <w:jc w:val="center"/>
              <w:rPr>
                <w:sz w:val="22"/>
              </w:rPr>
            </w:pPr>
            <w:r>
              <w:rPr>
                <w:sz w:val="22"/>
              </w:rPr>
              <w:t xml:space="preserve">          </w:t>
            </w:r>
          </w:p>
          <w:p w:rsidR="00934FAB" w:rsidRDefault="00934FAB" w:rsidP="002D6200">
            <w:pPr>
              <w:ind w:right="254"/>
              <w:jc w:val="center"/>
              <w:rPr>
                <w:sz w:val="22"/>
              </w:rPr>
            </w:pPr>
          </w:p>
          <w:p w:rsidR="00EF24A6" w:rsidRDefault="00934FAB" w:rsidP="009F2A0B">
            <w:pPr>
              <w:ind w:right="254"/>
              <w:jc w:val="center"/>
              <w:rPr>
                <w:sz w:val="22"/>
              </w:rPr>
            </w:pPr>
            <w:r>
              <w:rPr>
                <w:sz w:val="22"/>
              </w:rPr>
              <w:t xml:space="preserve">          </w:t>
            </w:r>
            <w:r w:rsidR="00183F00">
              <w:rPr>
                <w:sz w:val="22"/>
              </w:rPr>
              <w:t>3</w:t>
            </w:r>
            <w:r w:rsidR="002D6200">
              <w:rPr>
                <w:sz w:val="22"/>
              </w:rPr>
              <w:t>,</w:t>
            </w:r>
            <w:r w:rsidR="00183F00">
              <w:rPr>
                <w:sz w:val="22"/>
              </w:rPr>
              <w:t>063</w:t>
            </w:r>
          </w:p>
        </w:tc>
        <w:tc>
          <w:tcPr>
            <w:tcW w:w="1444" w:type="dxa"/>
          </w:tcPr>
          <w:p w:rsidR="00EF24A6" w:rsidRDefault="00EF24A6" w:rsidP="00282096">
            <w:pPr>
              <w:ind w:right="254"/>
              <w:jc w:val="right"/>
              <w:rPr>
                <w:sz w:val="22"/>
              </w:rPr>
            </w:pPr>
          </w:p>
          <w:p w:rsidR="00934FAB" w:rsidRDefault="00934FAB" w:rsidP="00282096">
            <w:pPr>
              <w:ind w:right="254"/>
              <w:jc w:val="right"/>
              <w:rPr>
                <w:sz w:val="22"/>
              </w:rPr>
            </w:pPr>
          </w:p>
          <w:p w:rsidR="00934FAB" w:rsidRDefault="00934FAB" w:rsidP="00282096">
            <w:pPr>
              <w:ind w:right="254"/>
              <w:jc w:val="right"/>
              <w:rPr>
                <w:sz w:val="22"/>
              </w:rPr>
            </w:pPr>
          </w:p>
          <w:p w:rsidR="00934FAB" w:rsidRDefault="00F50B94" w:rsidP="00934FAB">
            <w:pPr>
              <w:ind w:right="254"/>
              <w:jc w:val="right"/>
              <w:rPr>
                <w:sz w:val="22"/>
              </w:rPr>
            </w:pPr>
            <w:r>
              <w:rPr>
                <w:sz w:val="22"/>
              </w:rPr>
              <w:t xml:space="preserve">  4,594</w:t>
            </w:r>
          </w:p>
        </w:tc>
        <w:tc>
          <w:tcPr>
            <w:tcW w:w="90" w:type="dxa"/>
          </w:tcPr>
          <w:p w:rsidR="00EF24A6" w:rsidRDefault="00EF24A6" w:rsidP="00282096">
            <w:pPr>
              <w:jc w:val="right"/>
              <w:rPr>
                <w:sz w:val="22"/>
              </w:rPr>
            </w:pPr>
          </w:p>
        </w:tc>
        <w:tc>
          <w:tcPr>
            <w:tcW w:w="1349" w:type="dxa"/>
          </w:tcPr>
          <w:p w:rsidR="00EF24A6" w:rsidRDefault="00EF24A6" w:rsidP="00282096">
            <w:pPr>
              <w:ind w:right="167"/>
              <w:jc w:val="right"/>
              <w:rPr>
                <w:sz w:val="22"/>
              </w:rPr>
            </w:pPr>
          </w:p>
          <w:p w:rsidR="00934FAB" w:rsidRDefault="00934FAB" w:rsidP="009F5FE9">
            <w:pPr>
              <w:ind w:right="167"/>
              <w:jc w:val="right"/>
              <w:rPr>
                <w:sz w:val="22"/>
              </w:rPr>
            </w:pPr>
          </w:p>
          <w:p w:rsidR="00934FAB" w:rsidRDefault="00934FAB" w:rsidP="009F5FE9">
            <w:pPr>
              <w:ind w:right="167"/>
              <w:jc w:val="right"/>
              <w:rPr>
                <w:sz w:val="22"/>
              </w:rPr>
            </w:pPr>
          </w:p>
          <w:p w:rsidR="00EF24A6" w:rsidRDefault="00183F00" w:rsidP="009F5FE9">
            <w:pPr>
              <w:ind w:right="167"/>
              <w:jc w:val="right"/>
              <w:rPr>
                <w:sz w:val="22"/>
              </w:rPr>
            </w:pPr>
            <w:r>
              <w:rPr>
                <w:sz w:val="22"/>
              </w:rPr>
              <w:t xml:space="preserve"> 3</w:t>
            </w:r>
            <w:r w:rsidR="005C15C3">
              <w:rPr>
                <w:sz w:val="22"/>
              </w:rPr>
              <w:t>,</w:t>
            </w:r>
            <w:r>
              <w:rPr>
                <w:sz w:val="22"/>
              </w:rPr>
              <w:t>063</w:t>
            </w:r>
          </w:p>
        </w:tc>
        <w:tc>
          <w:tcPr>
            <w:tcW w:w="1799" w:type="dxa"/>
          </w:tcPr>
          <w:p w:rsidR="00EF24A6" w:rsidRDefault="00EF24A6" w:rsidP="00282096">
            <w:pPr>
              <w:ind w:right="254"/>
              <w:jc w:val="right"/>
              <w:rPr>
                <w:sz w:val="22"/>
              </w:rPr>
            </w:pPr>
          </w:p>
          <w:p w:rsidR="00934FAB" w:rsidRDefault="00934FAB" w:rsidP="00282096">
            <w:pPr>
              <w:ind w:right="254"/>
              <w:jc w:val="right"/>
              <w:rPr>
                <w:sz w:val="22"/>
              </w:rPr>
            </w:pPr>
          </w:p>
          <w:p w:rsidR="00934FAB" w:rsidRDefault="00934FAB" w:rsidP="00282096">
            <w:pPr>
              <w:ind w:right="254"/>
              <w:jc w:val="right"/>
              <w:rPr>
                <w:sz w:val="22"/>
              </w:rPr>
            </w:pPr>
          </w:p>
          <w:p w:rsidR="00EF24A6" w:rsidRDefault="00FB422E" w:rsidP="00F50B94">
            <w:pPr>
              <w:ind w:right="254"/>
              <w:jc w:val="right"/>
              <w:rPr>
                <w:sz w:val="22"/>
              </w:rPr>
            </w:pPr>
            <w:r>
              <w:rPr>
                <w:sz w:val="22"/>
              </w:rPr>
              <w:t xml:space="preserve"> </w:t>
            </w:r>
            <w:r w:rsidR="00F50B94">
              <w:rPr>
                <w:sz w:val="22"/>
              </w:rPr>
              <w:t>4,594</w:t>
            </w:r>
          </w:p>
        </w:tc>
      </w:tr>
      <w:tr w:rsidR="00EF24A6" w:rsidTr="00282096">
        <w:trPr>
          <w:cantSplit/>
          <w:trHeight w:val="279"/>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Number of ordinary shares in issue</w:t>
            </w:r>
          </w:p>
        </w:tc>
        <w:tc>
          <w:tcPr>
            <w:tcW w:w="1435" w:type="dxa"/>
          </w:tcPr>
          <w:p w:rsidR="00EF24A6" w:rsidRDefault="00EF24A6" w:rsidP="00282096">
            <w:pPr>
              <w:ind w:right="254"/>
              <w:jc w:val="right"/>
              <w:rPr>
                <w:sz w:val="22"/>
              </w:rPr>
            </w:pPr>
          </w:p>
          <w:p w:rsidR="00EF24A6" w:rsidRDefault="00EF24A6" w:rsidP="00282096">
            <w:pPr>
              <w:ind w:right="254"/>
              <w:jc w:val="right"/>
              <w:rPr>
                <w:sz w:val="22"/>
              </w:rPr>
            </w:pPr>
            <w:r>
              <w:rPr>
                <w:sz w:val="22"/>
              </w:rPr>
              <w:t>41,580</w:t>
            </w:r>
          </w:p>
        </w:tc>
        <w:tc>
          <w:tcPr>
            <w:tcW w:w="1444" w:type="dxa"/>
          </w:tcPr>
          <w:p w:rsidR="00EF24A6" w:rsidRDefault="00EF24A6" w:rsidP="00282096">
            <w:pPr>
              <w:ind w:right="254"/>
              <w:jc w:val="right"/>
              <w:rPr>
                <w:sz w:val="22"/>
              </w:rPr>
            </w:pPr>
          </w:p>
          <w:p w:rsidR="00EF24A6" w:rsidRDefault="00EF24A6" w:rsidP="00282096">
            <w:pPr>
              <w:ind w:right="254"/>
              <w:jc w:val="right"/>
              <w:rPr>
                <w:sz w:val="22"/>
              </w:rPr>
            </w:pPr>
            <w:r>
              <w:rPr>
                <w:sz w:val="22"/>
              </w:rPr>
              <w:t>41,580</w:t>
            </w:r>
          </w:p>
        </w:tc>
        <w:tc>
          <w:tcPr>
            <w:tcW w:w="90" w:type="dxa"/>
          </w:tcPr>
          <w:p w:rsidR="00EF24A6" w:rsidRDefault="00EF24A6" w:rsidP="00282096">
            <w:pPr>
              <w:jc w:val="right"/>
              <w:rPr>
                <w:sz w:val="22"/>
              </w:rPr>
            </w:pPr>
          </w:p>
        </w:tc>
        <w:tc>
          <w:tcPr>
            <w:tcW w:w="1349" w:type="dxa"/>
          </w:tcPr>
          <w:p w:rsidR="00EF24A6" w:rsidRDefault="00EF24A6" w:rsidP="00282096">
            <w:pPr>
              <w:ind w:right="167"/>
              <w:jc w:val="right"/>
              <w:rPr>
                <w:sz w:val="22"/>
              </w:rPr>
            </w:pPr>
          </w:p>
          <w:p w:rsidR="00EF24A6" w:rsidRDefault="00EF24A6" w:rsidP="00282096">
            <w:pPr>
              <w:ind w:right="167"/>
              <w:jc w:val="right"/>
              <w:rPr>
                <w:sz w:val="22"/>
              </w:rPr>
            </w:pPr>
            <w:r>
              <w:rPr>
                <w:sz w:val="22"/>
              </w:rPr>
              <w:t>41,580</w:t>
            </w:r>
          </w:p>
        </w:tc>
        <w:tc>
          <w:tcPr>
            <w:tcW w:w="1799" w:type="dxa"/>
          </w:tcPr>
          <w:p w:rsidR="00EF24A6" w:rsidRDefault="00EF24A6" w:rsidP="00282096">
            <w:pPr>
              <w:ind w:right="254"/>
              <w:jc w:val="right"/>
              <w:rPr>
                <w:sz w:val="22"/>
              </w:rPr>
            </w:pPr>
          </w:p>
          <w:p w:rsidR="00EF24A6" w:rsidRDefault="00EF24A6" w:rsidP="00282096">
            <w:pPr>
              <w:ind w:right="254"/>
              <w:jc w:val="right"/>
              <w:rPr>
                <w:sz w:val="22"/>
              </w:rPr>
            </w:pPr>
            <w:r>
              <w:rPr>
                <w:sz w:val="22"/>
              </w:rPr>
              <w:t>41,580</w:t>
            </w:r>
          </w:p>
        </w:tc>
      </w:tr>
      <w:tr w:rsidR="00EF24A6" w:rsidTr="00282096">
        <w:trPr>
          <w:cantSplit/>
          <w:trHeight w:val="279"/>
        </w:trPr>
        <w:tc>
          <w:tcPr>
            <w:tcW w:w="525" w:type="dxa"/>
            <w:gridSpan w:val="2"/>
          </w:tcPr>
          <w:p w:rsidR="00EF24A6" w:rsidRDefault="00EF24A6" w:rsidP="00282096">
            <w:pPr>
              <w:jc w:val="center"/>
              <w:rPr>
                <w:sz w:val="22"/>
              </w:rPr>
            </w:pPr>
          </w:p>
          <w:p w:rsidR="00EF24A6" w:rsidRDefault="00EF24A6" w:rsidP="00282096">
            <w:pPr>
              <w:jc w:val="center"/>
              <w:rPr>
                <w:sz w:val="22"/>
              </w:rPr>
            </w:pPr>
          </w:p>
          <w:p w:rsidR="00044C46" w:rsidRDefault="00044C46" w:rsidP="003B1280">
            <w:pPr>
              <w:rPr>
                <w:sz w:val="22"/>
              </w:rPr>
            </w:pPr>
          </w:p>
        </w:tc>
        <w:tc>
          <w:tcPr>
            <w:tcW w:w="2732" w:type="dxa"/>
            <w:gridSpan w:val="3"/>
          </w:tcPr>
          <w:p w:rsidR="00EF24A6" w:rsidRDefault="00EF24A6" w:rsidP="00282096">
            <w:pPr>
              <w:jc w:val="both"/>
              <w:rPr>
                <w:sz w:val="22"/>
              </w:rPr>
            </w:pPr>
            <w:r>
              <w:rPr>
                <w:sz w:val="22"/>
              </w:rPr>
              <w:t>Basic Earnings per share</w:t>
            </w:r>
          </w:p>
        </w:tc>
        <w:tc>
          <w:tcPr>
            <w:tcW w:w="1435" w:type="dxa"/>
          </w:tcPr>
          <w:p w:rsidR="00EF24A6" w:rsidRDefault="00183F00" w:rsidP="00E92059">
            <w:pPr>
              <w:ind w:right="254"/>
              <w:jc w:val="right"/>
              <w:rPr>
                <w:sz w:val="22"/>
              </w:rPr>
            </w:pPr>
            <w:r>
              <w:rPr>
                <w:sz w:val="22"/>
              </w:rPr>
              <w:t>7.37</w:t>
            </w:r>
            <w:r w:rsidR="00EF24A6">
              <w:rPr>
                <w:sz w:val="22"/>
              </w:rPr>
              <w:t xml:space="preserve"> Sen</w:t>
            </w:r>
          </w:p>
        </w:tc>
        <w:tc>
          <w:tcPr>
            <w:tcW w:w="1444" w:type="dxa"/>
          </w:tcPr>
          <w:p w:rsidR="00EF24A6" w:rsidRDefault="00EF24A6" w:rsidP="00282096">
            <w:pPr>
              <w:ind w:right="254"/>
              <w:jc w:val="right"/>
              <w:rPr>
                <w:sz w:val="22"/>
              </w:rPr>
            </w:pPr>
            <w:r>
              <w:rPr>
                <w:sz w:val="22"/>
              </w:rPr>
              <w:t xml:space="preserve"> </w:t>
            </w:r>
            <w:r w:rsidR="00FB422E">
              <w:rPr>
                <w:sz w:val="22"/>
              </w:rPr>
              <w:t>1</w:t>
            </w:r>
            <w:r w:rsidR="00C53A99">
              <w:rPr>
                <w:sz w:val="22"/>
              </w:rPr>
              <w:t>1.05</w:t>
            </w:r>
            <w:r>
              <w:rPr>
                <w:sz w:val="22"/>
              </w:rPr>
              <w:t xml:space="preserve"> Sen</w:t>
            </w:r>
          </w:p>
        </w:tc>
        <w:tc>
          <w:tcPr>
            <w:tcW w:w="90" w:type="dxa"/>
          </w:tcPr>
          <w:p w:rsidR="00EF24A6" w:rsidRDefault="00EF24A6" w:rsidP="00282096">
            <w:pPr>
              <w:jc w:val="right"/>
              <w:rPr>
                <w:sz w:val="22"/>
              </w:rPr>
            </w:pPr>
          </w:p>
        </w:tc>
        <w:tc>
          <w:tcPr>
            <w:tcW w:w="1349" w:type="dxa"/>
          </w:tcPr>
          <w:p w:rsidR="00EF24A6" w:rsidRDefault="00EF24A6" w:rsidP="009A7FDA">
            <w:pPr>
              <w:ind w:right="167"/>
              <w:jc w:val="right"/>
              <w:rPr>
                <w:sz w:val="22"/>
              </w:rPr>
            </w:pPr>
            <w:r>
              <w:rPr>
                <w:sz w:val="22"/>
              </w:rPr>
              <w:t xml:space="preserve"> </w:t>
            </w:r>
            <w:r w:rsidR="00183F00">
              <w:rPr>
                <w:sz w:val="22"/>
              </w:rPr>
              <w:t>7.37</w:t>
            </w:r>
            <w:r>
              <w:rPr>
                <w:sz w:val="22"/>
              </w:rPr>
              <w:t xml:space="preserve"> Sen</w:t>
            </w:r>
          </w:p>
        </w:tc>
        <w:tc>
          <w:tcPr>
            <w:tcW w:w="1799" w:type="dxa"/>
          </w:tcPr>
          <w:p w:rsidR="00EF24A6" w:rsidRDefault="002774D2" w:rsidP="00282096">
            <w:pPr>
              <w:ind w:right="254"/>
              <w:jc w:val="right"/>
              <w:rPr>
                <w:sz w:val="22"/>
              </w:rPr>
            </w:pPr>
            <w:r>
              <w:rPr>
                <w:sz w:val="22"/>
              </w:rPr>
              <w:t xml:space="preserve"> </w:t>
            </w:r>
            <w:r w:rsidR="00FB422E">
              <w:rPr>
                <w:sz w:val="22"/>
              </w:rPr>
              <w:t xml:space="preserve"> 1</w:t>
            </w:r>
            <w:r w:rsidR="00C53A99">
              <w:rPr>
                <w:sz w:val="22"/>
              </w:rPr>
              <w:t>1.05</w:t>
            </w:r>
            <w:r w:rsidR="00EF24A6">
              <w:rPr>
                <w:sz w:val="22"/>
              </w:rPr>
              <w:t xml:space="preserve"> Sen</w:t>
            </w:r>
          </w:p>
        </w:tc>
      </w:tr>
      <w:tr w:rsidR="00EF24A6" w:rsidTr="00282096">
        <w:trPr>
          <w:cantSplit/>
        </w:trPr>
        <w:tc>
          <w:tcPr>
            <w:tcW w:w="525" w:type="dxa"/>
            <w:gridSpan w:val="2"/>
          </w:tcPr>
          <w:p w:rsidR="00EF24A6" w:rsidRDefault="00EF24A6" w:rsidP="00282096">
            <w:pPr>
              <w:tabs>
                <w:tab w:val="left" w:pos="210"/>
              </w:tabs>
              <w:rPr>
                <w:sz w:val="22"/>
              </w:rPr>
            </w:pPr>
            <w:r>
              <w:rPr>
                <w:sz w:val="22"/>
              </w:rPr>
              <w:tab/>
            </w:r>
            <w:r w:rsidR="009E60DE">
              <w:rPr>
                <w:sz w:val="22"/>
              </w:rPr>
              <w:t>3</w:t>
            </w:r>
            <w:r w:rsidR="00545CCD">
              <w:rPr>
                <w:sz w:val="22"/>
              </w:rPr>
              <w:t>2</w:t>
            </w:r>
            <w:r>
              <w:rPr>
                <w:sz w:val="22"/>
              </w:rPr>
              <w:t>.</w:t>
            </w:r>
          </w:p>
        </w:tc>
        <w:tc>
          <w:tcPr>
            <w:tcW w:w="8849" w:type="dxa"/>
            <w:gridSpan w:val="8"/>
          </w:tcPr>
          <w:p w:rsidR="00EF24A6" w:rsidRDefault="00EF24A6" w:rsidP="00282096">
            <w:pPr>
              <w:ind w:right="256"/>
              <w:jc w:val="both"/>
              <w:rPr>
                <w:sz w:val="22"/>
              </w:rPr>
            </w:pPr>
            <w:r>
              <w:rPr>
                <w:sz w:val="22"/>
              </w:rPr>
              <w:t>Disclosure on Realised and Unrealised Profits/Losses</w:t>
            </w:r>
          </w:p>
          <w:p w:rsidR="00EF24A6" w:rsidRDefault="00EF24A6" w:rsidP="00282096">
            <w:pPr>
              <w:ind w:right="256"/>
              <w:jc w:val="both"/>
              <w:rPr>
                <w:sz w:val="22"/>
              </w:rPr>
            </w:pPr>
            <w:r w:rsidRPr="0047118B">
              <w:rPr>
                <w:sz w:val="22"/>
              </w:rPr>
              <w:t>The breakdown of retained profits of the Group as at the reporting date, into realised and unrealised</w:t>
            </w:r>
            <w:r>
              <w:rPr>
                <w:sz w:val="22"/>
              </w:rPr>
              <w:t xml:space="preserve"> </w:t>
            </w:r>
            <w:r w:rsidRPr="0047118B">
              <w:rPr>
                <w:sz w:val="22"/>
              </w:rPr>
              <w:t xml:space="preserve">profits, as disclosed pursuant to the directive issued by Bursa Malaysia Securities </w:t>
            </w:r>
            <w:proofErr w:type="spellStart"/>
            <w:r w:rsidRPr="0047118B">
              <w:rPr>
                <w:sz w:val="22"/>
              </w:rPr>
              <w:t>Berhad</w:t>
            </w:r>
            <w:proofErr w:type="spellEnd"/>
            <w:r w:rsidRPr="0047118B">
              <w:rPr>
                <w:sz w:val="22"/>
              </w:rPr>
              <w:t xml:space="preserve"> ("Bursa Malaysia") on 25</w:t>
            </w:r>
            <w:r>
              <w:rPr>
                <w:sz w:val="22"/>
              </w:rPr>
              <w:t xml:space="preserve"> </w:t>
            </w:r>
            <w:r w:rsidRPr="0047118B">
              <w:rPr>
                <w:sz w:val="22"/>
              </w:rPr>
              <w:t>March 2010, is as follows:</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ind w:right="348"/>
              <w:jc w:val="center"/>
              <w:rPr>
                <w:sz w:val="22"/>
              </w:rPr>
            </w:pPr>
          </w:p>
        </w:tc>
        <w:tc>
          <w:tcPr>
            <w:tcW w:w="90" w:type="dxa"/>
          </w:tcPr>
          <w:p w:rsidR="00EF24A6" w:rsidRDefault="00EF24A6" w:rsidP="00282096">
            <w:pPr>
              <w:jc w:val="center"/>
              <w:rPr>
                <w:sz w:val="22"/>
              </w:rPr>
            </w:pPr>
          </w:p>
        </w:tc>
        <w:tc>
          <w:tcPr>
            <w:tcW w:w="3148" w:type="dxa"/>
            <w:gridSpan w:val="2"/>
          </w:tcPr>
          <w:p w:rsidR="00EF24A6" w:rsidRDefault="00EF24A6" w:rsidP="00282096">
            <w:pPr>
              <w:ind w:right="256"/>
              <w:jc w:val="center"/>
              <w:rPr>
                <w:sz w:val="22"/>
              </w:rPr>
            </w:pPr>
            <w:r>
              <w:rPr>
                <w:sz w:val="22"/>
              </w:rPr>
              <w:t>Group</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ind w:right="348"/>
              <w:jc w:val="center"/>
              <w:rPr>
                <w:sz w:val="22"/>
              </w:rPr>
            </w:pPr>
          </w:p>
        </w:tc>
        <w:tc>
          <w:tcPr>
            <w:tcW w:w="90" w:type="dxa"/>
          </w:tcPr>
          <w:p w:rsidR="00EF24A6" w:rsidRDefault="00EF24A6" w:rsidP="00282096">
            <w:pPr>
              <w:jc w:val="both"/>
              <w:rPr>
                <w:sz w:val="22"/>
              </w:rPr>
            </w:pPr>
          </w:p>
        </w:tc>
        <w:tc>
          <w:tcPr>
            <w:tcW w:w="3148" w:type="dxa"/>
            <w:gridSpan w:val="2"/>
          </w:tcPr>
          <w:p w:rsidR="00EF24A6" w:rsidRDefault="00EF24A6" w:rsidP="003E49AA">
            <w:pPr>
              <w:ind w:right="256"/>
              <w:jc w:val="center"/>
              <w:rPr>
                <w:sz w:val="22"/>
              </w:rPr>
            </w:pPr>
            <w:r>
              <w:rPr>
                <w:sz w:val="22"/>
              </w:rPr>
              <w:t>As at 3</w:t>
            </w:r>
            <w:r w:rsidR="00237EB3">
              <w:rPr>
                <w:sz w:val="22"/>
              </w:rPr>
              <w:t xml:space="preserve">1 </w:t>
            </w:r>
            <w:r w:rsidR="003E49AA">
              <w:rPr>
                <w:sz w:val="22"/>
              </w:rPr>
              <w:t>March</w:t>
            </w:r>
            <w:r w:rsidR="00C24701">
              <w:rPr>
                <w:sz w:val="22"/>
              </w:rPr>
              <w:t xml:space="preserve"> 201</w:t>
            </w:r>
            <w:r w:rsidR="00B5542A">
              <w:rPr>
                <w:sz w:val="22"/>
              </w:rPr>
              <w:t>4</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2879" w:type="dxa"/>
            <w:gridSpan w:val="2"/>
          </w:tcPr>
          <w:p w:rsidR="00EF24A6" w:rsidRDefault="00EF24A6" w:rsidP="00282096">
            <w:pPr>
              <w:ind w:right="348"/>
              <w:jc w:val="center"/>
              <w:rPr>
                <w:sz w:val="22"/>
              </w:rPr>
            </w:pPr>
          </w:p>
        </w:tc>
        <w:tc>
          <w:tcPr>
            <w:tcW w:w="90" w:type="dxa"/>
          </w:tcPr>
          <w:p w:rsidR="00EF24A6" w:rsidRDefault="00EF24A6" w:rsidP="00282096">
            <w:pPr>
              <w:jc w:val="both"/>
              <w:rPr>
                <w:sz w:val="22"/>
              </w:rPr>
            </w:pPr>
          </w:p>
        </w:tc>
        <w:tc>
          <w:tcPr>
            <w:tcW w:w="3148" w:type="dxa"/>
            <w:gridSpan w:val="2"/>
          </w:tcPr>
          <w:p w:rsidR="00EF24A6" w:rsidRDefault="00EF24A6" w:rsidP="00282096">
            <w:pPr>
              <w:ind w:right="256"/>
              <w:jc w:val="center"/>
              <w:rPr>
                <w:sz w:val="22"/>
              </w:rPr>
            </w:pPr>
            <w:r>
              <w:rPr>
                <w:sz w:val="22"/>
              </w:rPr>
              <w:t>RM’000</w:t>
            </w:r>
          </w:p>
        </w:tc>
      </w:tr>
      <w:tr w:rsidR="00EF24A6" w:rsidTr="00282096">
        <w:trPr>
          <w:cantSplit/>
        </w:trPr>
        <w:tc>
          <w:tcPr>
            <w:tcW w:w="525" w:type="dxa"/>
            <w:gridSpan w:val="2"/>
          </w:tcPr>
          <w:p w:rsidR="00EF24A6" w:rsidRDefault="00EF24A6" w:rsidP="00282096">
            <w:pPr>
              <w:jc w:val="right"/>
              <w:rPr>
                <w:sz w:val="22"/>
              </w:rPr>
            </w:pPr>
          </w:p>
        </w:tc>
        <w:tc>
          <w:tcPr>
            <w:tcW w:w="5611" w:type="dxa"/>
            <w:gridSpan w:val="5"/>
          </w:tcPr>
          <w:p w:rsidR="00EF24A6" w:rsidRDefault="00EF24A6" w:rsidP="00282096">
            <w:pPr>
              <w:ind w:right="348"/>
              <w:jc w:val="both"/>
              <w:rPr>
                <w:sz w:val="22"/>
              </w:rPr>
            </w:pPr>
            <w:r>
              <w:rPr>
                <w:sz w:val="22"/>
              </w:rPr>
              <w:t>Retained earnings of the Company and its subsidiaries</w:t>
            </w:r>
          </w:p>
        </w:tc>
        <w:tc>
          <w:tcPr>
            <w:tcW w:w="90" w:type="dxa"/>
          </w:tcPr>
          <w:p w:rsidR="00EF24A6" w:rsidRDefault="00EF24A6" w:rsidP="00282096">
            <w:pPr>
              <w:jc w:val="both"/>
              <w:rPr>
                <w:sz w:val="22"/>
              </w:rPr>
            </w:pPr>
          </w:p>
        </w:tc>
        <w:tc>
          <w:tcPr>
            <w:tcW w:w="1349" w:type="dxa"/>
          </w:tcPr>
          <w:p w:rsidR="00EF24A6" w:rsidRDefault="00EF24A6" w:rsidP="00282096">
            <w:pPr>
              <w:ind w:right="167"/>
              <w:jc w:val="both"/>
              <w:rPr>
                <w:sz w:val="22"/>
              </w:rPr>
            </w:pPr>
          </w:p>
        </w:tc>
        <w:tc>
          <w:tcPr>
            <w:tcW w:w="1799" w:type="dxa"/>
          </w:tcPr>
          <w:p w:rsidR="00EF24A6" w:rsidRDefault="00EF24A6" w:rsidP="00282096">
            <w:pPr>
              <w:ind w:right="256"/>
              <w:jc w:val="both"/>
              <w:rPr>
                <w:sz w:val="22"/>
              </w:rPr>
            </w:pP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 xml:space="preserve"> - Realised</w:t>
            </w: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Pr="0023762E" w:rsidRDefault="00B5542A" w:rsidP="00282096">
            <w:pPr>
              <w:ind w:right="256"/>
              <w:jc w:val="center"/>
              <w:rPr>
                <w:sz w:val="22"/>
              </w:rPr>
            </w:pPr>
            <w:r>
              <w:rPr>
                <w:sz w:val="22"/>
              </w:rPr>
              <w:t>74</w:t>
            </w:r>
            <w:r w:rsidR="008E5315">
              <w:rPr>
                <w:sz w:val="22"/>
              </w:rPr>
              <w:t>,</w:t>
            </w:r>
            <w:r>
              <w:rPr>
                <w:sz w:val="22"/>
              </w:rPr>
              <w:t>026</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r>
              <w:rPr>
                <w:sz w:val="22"/>
              </w:rPr>
              <w:t xml:space="preserve"> - Unrealised</w:t>
            </w: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Pr="0023762E" w:rsidRDefault="00EF24A6" w:rsidP="00282096">
            <w:pPr>
              <w:ind w:right="256"/>
              <w:rPr>
                <w:sz w:val="22"/>
              </w:rPr>
            </w:pPr>
            <w:r w:rsidRPr="0023762E">
              <w:rPr>
                <w:sz w:val="22"/>
              </w:rPr>
              <w:t xml:space="preserve">                        (</w:t>
            </w:r>
            <w:r w:rsidR="00B5542A">
              <w:rPr>
                <w:sz w:val="22"/>
              </w:rPr>
              <w:t>582</w:t>
            </w:r>
            <w:r w:rsidRPr="0023762E">
              <w:rPr>
                <w:sz w:val="22"/>
              </w:rPr>
              <w:t>)</w:t>
            </w:r>
          </w:p>
        </w:tc>
      </w:tr>
      <w:tr w:rsidR="00EF24A6" w:rsidTr="00282096">
        <w:trPr>
          <w:cantSplit/>
        </w:trPr>
        <w:tc>
          <w:tcPr>
            <w:tcW w:w="525" w:type="dxa"/>
            <w:gridSpan w:val="2"/>
          </w:tcPr>
          <w:p w:rsidR="00EF24A6" w:rsidRDefault="00EF24A6" w:rsidP="00282096">
            <w:pPr>
              <w:jc w:val="right"/>
              <w:rPr>
                <w:sz w:val="22"/>
              </w:rPr>
            </w:pPr>
          </w:p>
        </w:tc>
        <w:tc>
          <w:tcPr>
            <w:tcW w:w="5611" w:type="dxa"/>
            <w:gridSpan w:val="5"/>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Default="00EF24A6" w:rsidP="00282096">
            <w:pPr>
              <w:ind w:right="256"/>
              <w:jc w:val="center"/>
              <w:rPr>
                <w:sz w:val="22"/>
              </w:rPr>
            </w:pPr>
            <w:r>
              <w:rPr>
                <w:sz w:val="22"/>
              </w:rPr>
              <w:t>-----------</w:t>
            </w:r>
          </w:p>
        </w:tc>
      </w:tr>
      <w:tr w:rsidR="00EF24A6" w:rsidTr="00282096">
        <w:trPr>
          <w:cantSplit/>
        </w:trPr>
        <w:tc>
          <w:tcPr>
            <w:tcW w:w="525" w:type="dxa"/>
            <w:gridSpan w:val="2"/>
          </w:tcPr>
          <w:p w:rsidR="00EF24A6" w:rsidRDefault="00EF24A6" w:rsidP="00282096">
            <w:pPr>
              <w:jc w:val="right"/>
              <w:rPr>
                <w:sz w:val="22"/>
              </w:rPr>
            </w:pPr>
          </w:p>
        </w:tc>
        <w:tc>
          <w:tcPr>
            <w:tcW w:w="5611" w:type="dxa"/>
            <w:gridSpan w:val="5"/>
          </w:tcPr>
          <w:p w:rsidR="00EF24A6" w:rsidRDefault="00EF24A6" w:rsidP="00282096">
            <w:pPr>
              <w:ind w:right="348"/>
              <w:jc w:val="both"/>
              <w:rPr>
                <w:sz w:val="22"/>
              </w:rPr>
            </w:pPr>
            <w:r>
              <w:rPr>
                <w:sz w:val="22"/>
              </w:rPr>
              <w:t>Retained earnings as per financial statements</w:t>
            </w:r>
          </w:p>
        </w:tc>
        <w:tc>
          <w:tcPr>
            <w:tcW w:w="90" w:type="dxa"/>
          </w:tcPr>
          <w:p w:rsidR="00EF24A6" w:rsidRDefault="00EF24A6" w:rsidP="00282096">
            <w:pPr>
              <w:jc w:val="both"/>
              <w:rPr>
                <w:sz w:val="22"/>
              </w:rPr>
            </w:pPr>
          </w:p>
        </w:tc>
        <w:tc>
          <w:tcPr>
            <w:tcW w:w="3148" w:type="dxa"/>
            <w:gridSpan w:val="2"/>
          </w:tcPr>
          <w:p w:rsidR="00EF24A6" w:rsidRDefault="00B5542A" w:rsidP="00282096">
            <w:pPr>
              <w:ind w:right="256"/>
              <w:jc w:val="center"/>
              <w:rPr>
                <w:sz w:val="22"/>
              </w:rPr>
            </w:pPr>
            <w:r>
              <w:rPr>
                <w:sz w:val="22"/>
              </w:rPr>
              <w:t>73</w:t>
            </w:r>
            <w:r w:rsidR="00EF24A6">
              <w:rPr>
                <w:sz w:val="22"/>
              </w:rPr>
              <w:t>,</w:t>
            </w:r>
            <w:r>
              <w:rPr>
                <w:sz w:val="22"/>
              </w:rPr>
              <w:t>444</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3148" w:type="dxa"/>
            <w:gridSpan w:val="2"/>
          </w:tcPr>
          <w:p w:rsidR="00EF24A6" w:rsidRDefault="00EF24A6" w:rsidP="00282096">
            <w:pPr>
              <w:ind w:right="256"/>
              <w:jc w:val="center"/>
              <w:rPr>
                <w:sz w:val="22"/>
              </w:rPr>
            </w:pPr>
            <w:r>
              <w:rPr>
                <w:sz w:val="22"/>
              </w:rPr>
              <w:t>=======</w:t>
            </w:r>
          </w:p>
        </w:tc>
      </w:tr>
      <w:tr w:rsidR="00EF24A6" w:rsidTr="00282096">
        <w:trPr>
          <w:cantSplit/>
        </w:trPr>
        <w:tc>
          <w:tcPr>
            <w:tcW w:w="525" w:type="dxa"/>
            <w:gridSpan w:val="2"/>
          </w:tcPr>
          <w:p w:rsidR="00EF24A6" w:rsidRDefault="00EF24A6" w:rsidP="00282096">
            <w:pPr>
              <w:jc w:val="right"/>
              <w:rPr>
                <w:sz w:val="22"/>
              </w:rPr>
            </w:pPr>
          </w:p>
        </w:tc>
        <w:tc>
          <w:tcPr>
            <w:tcW w:w="2732" w:type="dxa"/>
            <w:gridSpan w:val="3"/>
          </w:tcPr>
          <w:p w:rsidR="00EF24A6" w:rsidRDefault="00EF24A6" w:rsidP="00282096">
            <w:pPr>
              <w:jc w:val="both"/>
              <w:rPr>
                <w:sz w:val="22"/>
              </w:rPr>
            </w:pPr>
          </w:p>
        </w:tc>
        <w:tc>
          <w:tcPr>
            <w:tcW w:w="1435" w:type="dxa"/>
          </w:tcPr>
          <w:p w:rsidR="00EF24A6" w:rsidRDefault="00EF24A6" w:rsidP="00282096">
            <w:pPr>
              <w:ind w:right="254"/>
              <w:jc w:val="both"/>
              <w:rPr>
                <w:sz w:val="22"/>
              </w:rPr>
            </w:pPr>
          </w:p>
        </w:tc>
        <w:tc>
          <w:tcPr>
            <w:tcW w:w="1444" w:type="dxa"/>
          </w:tcPr>
          <w:p w:rsidR="00EF24A6" w:rsidRDefault="00EF24A6" w:rsidP="00282096">
            <w:pPr>
              <w:ind w:right="348"/>
              <w:jc w:val="both"/>
              <w:rPr>
                <w:sz w:val="22"/>
              </w:rPr>
            </w:pPr>
          </w:p>
        </w:tc>
        <w:tc>
          <w:tcPr>
            <w:tcW w:w="90" w:type="dxa"/>
          </w:tcPr>
          <w:p w:rsidR="00EF24A6" w:rsidRDefault="00EF24A6" w:rsidP="00282096">
            <w:pPr>
              <w:jc w:val="both"/>
              <w:rPr>
                <w:sz w:val="22"/>
              </w:rPr>
            </w:pPr>
          </w:p>
        </w:tc>
        <w:tc>
          <w:tcPr>
            <w:tcW w:w="1349" w:type="dxa"/>
          </w:tcPr>
          <w:p w:rsidR="00EF24A6" w:rsidRDefault="00EF24A6" w:rsidP="00282096">
            <w:pPr>
              <w:ind w:right="167"/>
              <w:jc w:val="both"/>
              <w:rPr>
                <w:sz w:val="22"/>
              </w:rPr>
            </w:pPr>
          </w:p>
        </w:tc>
        <w:tc>
          <w:tcPr>
            <w:tcW w:w="1799" w:type="dxa"/>
          </w:tcPr>
          <w:p w:rsidR="00EF24A6" w:rsidRDefault="00EF24A6" w:rsidP="00282096">
            <w:pPr>
              <w:ind w:right="256"/>
              <w:jc w:val="both"/>
              <w:rPr>
                <w:sz w:val="22"/>
              </w:rPr>
            </w:pPr>
          </w:p>
        </w:tc>
      </w:tr>
    </w:tbl>
    <w:p w:rsidR="002B614A" w:rsidRDefault="002B614A"/>
    <w:sectPr w:rsidR="002B614A" w:rsidSect="00E07394">
      <w:footerReference w:type="default" r:id="rId9"/>
      <w:pgSz w:w="11906" w:h="16838"/>
      <w:pgMar w:top="1440" w:right="1440" w:bottom="1440" w:left="1440" w:header="708" w:footer="708" w:gutter="0"/>
      <w:pgNumType w:start="5" w:chapStyle="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2E" w:rsidRDefault="00A47B2E" w:rsidP="00EF24A6">
      <w:r>
        <w:separator/>
      </w:r>
    </w:p>
  </w:endnote>
  <w:endnote w:type="continuationSeparator" w:id="0">
    <w:p w:rsidR="00A47B2E" w:rsidRDefault="00A47B2E" w:rsidP="00EF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685057"/>
      <w:docPartObj>
        <w:docPartGallery w:val="Page Numbers (Bottom of Page)"/>
        <w:docPartUnique/>
      </w:docPartObj>
    </w:sdtPr>
    <w:sdtEndPr>
      <w:rPr>
        <w:noProof/>
      </w:rPr>
    </w:sdtEndPr>
    <w:sdtContent>
      <w:p w:rsidR="00577CDC" w:rsidRDefault="00577CDC">
        <w:pPr>
          <w:pStyle w:val="Footer"/>
          <w:jc w:val="center"/>
        </w:pPr>
        <w:r>
          <w:fldChar w:fldCharType="begin"/>
        </w:r>
        <w:r>
          <w:instrText xml:space="preserve"> PAGE   \* MERGEFORMAT </w:instrText>
        </w:r>
        <w:r>
          <w:fldChar w:fldCharType="separate"/>
        </w:r>
        <w:r w:rsidR="00136CC8">
          <w:rPr>
            <w:noProof/>
          </w:rPr>
          <w:t>10</w:t>
        </w:r>
        <w:r>
          <w:rPr>
            <w:noProof/>
          </w:rPr>
          <w:fldChar w:fldCharType="end"/>
        </w:r>
      </w:p>
    </w:sdtContent>
  </w:sdt>
  <w:p w:rsidR="00577CDC" w:rsidRDefault="00577CDC" w:rsidP="00282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2E" w:rsidRDefault="00A47B2E" w:rsidP="00EF24A6">
      <w:r>
        <w:separator/>
      </w:r>
    </w:p>
  </w:footnote>
  <w:footnote w:type="continuationSeparator" w:id="0">
    <w:p w:rsidR="00A47B2E" w:rsidRDefault="00A47B2E" w:rsidP="00EF2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EF8"/>
    <w:multiLevelType w:val="hybridMultilevel"/>
    <w:tmpl w:val="D8CE04B8"/>
    <w:lvl w:ilvl="0" w:tplc="DA6C022E">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
    <w:nsid w:val="3E9645BF"/>
    <w:multiLevelType w:val="hybridMultilevel"/>
    <w:tmpl w:val="2A14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30"/>
    <w:rsid w:val="00005754"/>
    <w:rsid w:val="000212B8"/>
    <w:rsid w:val="0003739F"/>
    <w:rsid w:val="00044C46"/>
    <w:rsid w:val="00050DAF"/>
    <w:rsid w:val="00064532"/>
    <w:rsid w:val="00070295"/>
    <w:rsid w:val="00070FD4"/>
    <w:rsid w:val="00074530"/>
    <w:rsid w:val="0007569D"/>
    <w:rsid w:val="00095B8F"/>
    <w:rsid w:val="000B2D13"/>
    <w:rsid w:val="000C134E"/>
    <w:rsid w:val="000C52F9"/>
    <w:rsid w:val="000C6D2B"/>
    <w:rsid w:val="000D4219"/>
    <w:rsid w:val="000D6879"/>
    <w:rsid w:val="000E3086"/>
    <w:rsid w:val="000E386C"/>
    <w:rsid w:val="000E72E8"/>
    <w:rsid w:val="00115AB9"/>
    <w:rsid w:val="00132561"/>
    <w:rsid w:val="00135885"/>
    <w:rsid w:val="00136813"/>
    <w:rsid w:val="00136CC8"/>
    <w:rsid w:val="0015007D"/>
    <w:rsid w:val="00150DE5"/>
    <w:rsid w:val="001522F0"/>
    <w:rsid w:val="001552F7"/>
    <w:rsid w:val="00157991"/>
    <w:rsid w:val="0016014C"/>
    <w:rsid w:val="001645FB"/>
    <w:rsid w:val="00180A7E"/>
    <w:rsid w:val="00183F00"/>
    <w:rsid w:val="0018650D"/>
    <w:rsid w:val="001879DC"/>
    <w:rsid w:val="00195B35"/>
    <w:rsid w:val="001A4D44"/>
    <w:rsid w:val="001D5524"/>
    <w:rsid w:val="001D655C"/>
    <w:rsid w:val="001E2F7B"/>
    <w:rsid w:val="001F111D"/>
    <w:rsid w:val="001F162E"/>
    <w:rsid w:val="001F5749"/>
    <w:rsid w:val="002052CE"/>
    <w:rsid w:val="00214753"/>
    <w:rsid w:val="002253D7"/>
    <w:rsid w:val="00237EB3"/>
    <w:rsid w:val="002433AB"/>
    <w:rsid w:val="00244FA9"/>
    <w:rsid w:val="002774D2"/>
    <w:rsid w:val="0028199D"/>
    <w:rsid w:val="00282096"/>
    <w:rsid w:val="00283C00"/>
    <w:rsid w:val="00287308"/>
    <w:rsid w:val="00287AF3"/>
    <w:rsid w:val="00290AFE"/>
    <w:rsid w:val="0029551C"/>
    <w:rsid w:val="002A4881"/>
    <w:rsid w:val="002A5D98"/>
    <w:rsid w:val="002A62D3"/>
    <w:rsid w:val="002B3CA2"/>
    <w:rsid w:val="002B614A"/>
    <w:rsid w:val="002C38CD"/>
    <w:rsid w:val="002D40E6"/>
    <w:rsid w:val="002D59B9"/>
    <w:rsid w:val="002D6200"/>
    <w:rsid w:val="002E37B7"/>
    <w:rsid w:val="002E54F1"/>
    <w:rsid w:val="002E7126"/>
    <w:rsid w:val="002F0898"/>
    <w:rsid w:val="002F2F82"/>
    <w:rsid w:val="00300CD4"/>
    <w:rsid w:val="00304CB1"/>
    <w:rsid w:val="00337595"/>
    <w:rsid w:val="00340AD3"/>
    <w:rsid w:val="0034125A"/>
    <w:rsid w:val="00371501"/>
    <w:rsid w:val="00372D35"/>
    <w:rsid w:val="00382D50"/>
    <w:rsid w:val="003B055D"/>
    <w:rsid w:val="003B1280"/>
    <w:rsid w:val="003B29BC"/>
    <w:rsid w:val="003B2BFB"/>
    <w:rsid w:val="003E49AA"/>
    <w:rsid w:val="004017CA"/>
    <w:rsid w:val="00403684"/>
    <w:rsid w:val="00430C47"/>
    <w:rsid w:val="00431117"/>
    <w:rsid w:val="00440616"/>
    <w:rsid w:val="00445D7E"/>
    <w:rsid w:val="00475337"/>
    <w:rsid w:val="00480E69"/>
    <w:rsid w:val="00496C25"/>
    <w:rsid w:val="004A4B0E"/>
    <w:rsid w:val="004B3157"/>
    <w:rsid w:val="004B6283"/>
    <w:rsid w:val="004C406E"/>
    <w:rsid w:val="004D444B"/>
    <w:rsid w:val="004E13F7"/>
    <w:rsid w:val="004F516F"/>
    <w:rsid w:val="005112B1"/>
    <w:rsid w:val="00524859"/>
    <w:rsid w:val="00525C59"/>
    <w:rsid w:val="005279BF"/>
    <w:rsid w:val="005306B6"/>
    <w:rsid w:val="005307D5"/>
    <w:rsid w:val="00530CC8"/>
    <w:rsid w:val="00545A6C"/>
    <w:rsid w:val="00545CCD"/>
    <w:rsid w:val="005473E0"/>
    <w:rsid w:val="00561A1B"/>
    <w:rsid w:val="00561F7C"/>
    <w:rsid w:val="005647BF"/>
    <w:rsid w:val="00577CDC"/>
    <w:rsid w:val="00583214"/>
    <w:rsid w:val="00584654"/>
    <w:rsid w:val="00585BA4"/>
    <w:rsid w:val="00590813"/>
    <w:rsid w:val="005A1244"/>
    <w:rsid w:val="005B3946"/>
    <w:rsid w:val="005C15C3"/>
    <w:rsid w:val="005D6942"/>
    <w:rsid w:val="005D6DEF"/>
    <w:rsid w:val="005E392C"/>
    <w:rsid w:val="005E7089"/>
    <w:rsid w:val="005F6CA8"/>
    <w:rsid w:val="00600E05"/>
    <w:rsid w:val="0060265C"/>
    <w:rsid w:val="00611473"/>
    <w:rsid w:val="00616037"/>
    <w:rsid w:val="00636F23"/>
    <w:rsid w:val="006528BA"/>
    <w:rsid w:val="00653C39"/>
    <w:rsid w:val="006566E9"/>
    <w:rsid w:val="00672B93"/>
    <w:rsid w:val="00682CB9"/>
    <w:rsid w:val="006876C0"/>
    <w:rsid w:val="006B0898"/>
    <w:rsid w:val="006C631F"/>
    <w:rsid w:val="006D191A"/>
    <w:rsid w:val="006D5EA7"/>
    <w:rsid w:val="006D6FFC"/>
    <w:rsid w:val="006D7D24"/>
    <w:rsid w:val="006F791C"/>
    <w:rsid w:val="00714081"/>
    <w:rsid w:val="00741912"/>
    <w:rsid w:val="00755F74"/>
    <w:rsid w:val="00776C93"/>
    <w:rsid w:val="00782549"/>
    <w:rsid w:val="00790D5A"/>
    <w:rsid w:val="007B0A7D"/>
    <w:rsid w:val="007D5F19"/>
    <w:rsid w:val="008008C6"/>
    <w:rsid w:val="00821F26"/>
    <w:rsid w:val="008358AF"/>
    <w:rsid w:val="0084487B"/>
    <w:rsid w:val="00844BAC"/>
    <w:rsid w:val="0084779D"/>
    <w:rsid w:val="00851D33"/>
    <w:rsid w:val="00877F2F"/>
    <w:rsid w:val="00891D55"/>
    <w:rsid w:val="008A3E63"/>
    <w:rsid w:val="008B7B9C"/>
    <w:rsid w:val="008C0670"/>
    <w:rsid w:val="008E5315"/>
    <w:rsid w:val="008E7D12"/>
    <w:rsid w:val="008F336D"/>
    <w:rsid w:val="008F5F45"/>
    <w:rsid w:val="00934FAB"/>
    <w:rsid w:val="00954234"/>
    <w:rsid w:val="00967A9B"/>
    <w:rsid w:val="009703E8"/>
    <w:rsid w:val="00976A35"/>
    <w:rsid w:val="009819E8"/>
    <w:rsid w:val="009835F0"/>
    <w:rsid w:val="009875C8"/>
    <w:rsid w:val="009915C0"/>
    <w:rsid w:val="009A66E5"/>
    <w:rsid w:val="009A6882"/>
    <w:rsid w:val="009A7FDA"/>
    <w:rsid w:val="009D5C2C"/>
    <w:rsid w:val="009E60DE"/>
    <w:rsid w:val="009E6633"/>
    <w:rsid w:val="009F21A9"/>
    <w:rsid w:val="009F2A0B"/>
    <w:rsid w:val="009F56ED"/>
    <w:rsid w:val="009F5FE9"/>
    <w:rsid w:val="00A1396A"/>
    <w:rsid w:val="00A17254"/>
    <w:rsid w:val="00A218E1"/>
    <w:rsid w:val="00A25515"/>
    <w:rsid w:val="00A25830"/>
    <w:rsid w:val="00A37DD1"/>
    <w:rsid w:val="00A47B2E"/>
    <w:rsid w:val="00A52683"/>
    <w:rsid w:val="00A754AE"/>
    <w:rsid w:val="00A84393"/>
    <w:rsid w:val="00A91FE5"/>
    <w:rsid w:val="00A97A80"/>
    <w:rsid w:val="00AA1AFD"/>
    <w:rsid w:val="00AA39AD"/>
    <w:rsid w:val="00AC22FE"/>
    <w:rsid w:val="00AC3EB0"/>
    <w:rsid w:val="00AF58C7"/>
    <w:rsid w:val="00B142BE"/>
    <w:rsid w:val="00B35BC9"/>
    <w:rsid w:val="00B401FA"/>
    <w:rsid w:val="00B42881"/>
    <w:rsid w:val="00B4518F"/>
    <w:rsid w:val="00B543B9"/>
    <w:rsid w:val="00B5542A"/>
    <w:rsid w:val="00B7631A"/>
    <w:rsid w:val="00B8003E"/>
    <w:rsid w:val="00B86E2F"/>
    <w:rsid w:val="00BA03E7"/>
    <w:rsid w:val="00BA1E39"/>
    <w:rsid w:val="00BC1844"/>
    <w:rsid w:val="00BC5A27"/>
    <w:rsid w:val="00BC7081"/>
    <w:rsid w:val="00C00070"/>
    <w:rsid w:val="00C00844"/>
    <w:rsid w:val="00C0197A"/>
    <w:rsid w:val="00C21633"/>
    <w:rsid w:val="00C24701"/>
    <w:rsid w:val="00C334A4"/>
    <w:rsid w:val="00C34036"/>
    <w:rsid w:val="00C3704D"/>
    <w:rsid w:val="00C41E6B"/>
    <w:rsid w:val="00C53A99"/>
    <w:rsid w:val="00C6219D"/>
    <w:rsid w:val="00C6269E"/>
    <w:rsid w:val="00C659F1"/>
    <w:rsid w:val="00C708D6"/>
    <w:rsid w:val="00C76480"/>
    <w:rsid w:val="00C96E6A"/>
    <w:rsid w:val="00CA30FC"/>
    <w:rsid w:val="00CA617B"/>
    <w:rsid w:val="00CA6F73"/>
    <w:rsid w:val="00CC3590"/>
    <w:rsid w:val="00CC472D"/>
    <w:rsid w:val="00CD6444"/>
    <w:rsid w:val="00CE5382"/>
    <w:rsid w:val="00CE63E7"/>
    <w:rsid w:val="00CF64CE"/>
    <w:rsid w:val="00D175FD"/>
    <w:rsid w:val="00D23586"/>
    <w:rsid w:val="00D2771E"/>
    <w:rsid w:val="00D3736B"/>
    <w:rsid w:val="00D4113F"/>
    <w:rsid w:val="00D411FC"/>
    <w:rsid w:val="00D432C5"/>
    <w:rsid w:val="00D50458"/>
    <w:rsid w:val="00D53F2D"/>
    <w:rsid w:val="00D55A03"/>
    <w:rsid w:val="00D629CF"/>
    <w:rsid w:val="00D80EFB"/>
    <w:rsid w:val="00D87AE3"/>
    <w:rsid w:val="00D87C2F"/>
    <w:rsid w:val="00D93A9E"/>
    <w:rsid w:val="00D963AF"/>
    <w:rsid w:val="00DC513B"/>
    <w:rsid w:val="00DD2065"/>
    <w:rsid w:val="00DD4B94"/>
    <w:rsid w:val="00DD6312"/>
    <w:rsid w:val="00DF41EB"/>
    <w:rsid w:val="00DF4467"/>
    <w:rsid w:val="00E07394"/>
    <w:rsid w:val="00E11487"/>
    <w:rsid w:val="00E14C1E"/>
    <w:rsid w:val="00E159D7"/>
    <w:rsid w:val="00E2460A"/>
    <w:rsid w:val="00E30C7C"/>
    <w:rsid w:val="00E310E9"/>
    <w:rsid w:val="00E63541"/>
    <w:rsid w:val="00E64AFE"/>
    <w:rsid w:val="00E71FCF"/>
    <w:rsid w:val="00E72EC6"/>
    <w:rsid w:val="00E83B5D"/>
    <w:rsid w:val="00E90596"/>
    <w:rsid w:val="00E906F7"/>
    <w:rsid w:val="00E92059"/>
    <w:rsid w:val="00E935C1"/>
    <w:rsid w:val="00EB5F63"/>
    <w:rsid w:val="00EB6BE8"/>
    <w:rsid w:val="00EC0D83"/>
    <w:rsid w:val="00EC17AA"/>
    <w:rsid w:val="00EC7AFB"/>
    <w:rsid w:val="00ED5468"/>
    <w:rsid w:val="00EE060B"/>
    <w:rsid w:val="00EE53F8"/>
    <w:rsid w:val="00EE7278"/>
    <w:rsid w:val="00EF24A6"/>
    <w:rsid w:val="00F0227B"/>
    <w:rsid w:val="00F10C71"/>
    <w:rsid w:val="00F1401F"/>
    <w:rsid w:val="00F2361C"/>
    <w:rsid w:val="00F303FC"/>
    <w:rsid w:val="00F50B94"/>
    <w:rsid w:val="00F817B1"/>
    <w:rsid w:val="00F83A5D"/>
    <w:rsid w:val="00F84828"/>
    <w:rsid w:val="00FA0CF7"/>
    <w:rsid w:val="00FB422E"/>
    <w:rsid w:val="00FC2596"/>
    <w:rsid w:val="00FD46BE"/>
    <w:rsid w:val="00FE4DD9"/>
    <w:rsid w:val="00FF3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25830"/>
    <w:pPr>
      <w:keepNext/>
      <w:overflowPunct/>
      <w:autoSpaceDE/>
      <w:autoSpaceDN/>
      <w:adjustRightInd/>
      <w:textAlignment w:val="auto"/>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830"/>
    <w:rPr>
      <w:rFonts w:ascii="Times New Roman" w:eastAsia="Times New Roman" w:hAnsi="Times New Roman" w:cs="Times New Roman"/>
      <w:b/>
      <w:sz w:val="20"/>
      <w:szCs w:val="20"/>
      <w:lang w:val="en-US"/>
    </w:rPr>
  </w:style>
  <w:style w:type="paragraph" w:styleId="Footer">
    <w:name w:val="footer"/>
    <w:basedOn w:val="Normal"/>
    <w:link w:val="FooterChar"/>
    <w:uiPriority w:val="99"/>
    <w:rsid w:val="00A25830"/>
    <w:pPr>
      <w:tabs>
        <w:tab w:val="center" w:pos="4320"/>
        <w:tab w:val="right" w:pos="8640"/>
      </w:tabs>
    </w:pPr>
  </w:style>
  <w:style w:type="character" w:customStyle="1" w:styleId="FooterChar">
    <w:name w:val="Footer Char"/>
    <w:basedOn w:val="DefaultParagraphFont"/>
    <w:link w:val="Footer"/>
    <w:uiPriority w:val="99"/>
    <w:rsid w:val="00A25830"/>
    <w:rPr>
      <w:rFonts w:ascii="Times New Roman" w:eastAsia="Times New Roman" w:hAnsi="Times New Roman" w:cs="Times New Roman"/>
      <w:sz w:val="20"/>
      <w:szCs w:val="20"/>
    </w:rPr>
  </w:style>
  <w:style w:type="character" w:styleId="PageNumber">
    <w:name w:val="page number"/>
    <w:basedOn w:val="DefaultParagraphFont"/>
    <w:rsid w:val="00A25830"/>
  </w:style>
  <w:style w:type="character" w:styleId="LineNumber">
    <w:name w:val="line number"/>
    <w:basedOn w:val="DefaultParagraphFont"/>
    <w:uiPriority w:val="99"/>
    <w:semiHidden/>
    <w:unhideWhenUsed/>
    <w:rsid w:val="00EE060B"/>
  </w:style>
  <w:style w:type="paragraph" w:styleId="Header">
    <w:name w:val="header"/>
    <w:basedOn w:val="Normal"/>
    <w:link w:val="HeaderChar"/>
    <w:uiPriority w:val="99"/>
    <w:unhideWhenUsed/>
    <w:rsid w:val="00EF24A6"/>
    <w:pPr>
      <w:tabs>
        <w:tab w:val="center" w:pos="4513"/>
        <w:tab w:val="right" w:pos="9026"/>
      </w:tabs>
    </w:pPr>
  </w:style>
  <w:style w:type="character" w:customStyle="1" w:styleId="HeaderChar">
    <w:name w:val="Header Char"/>
    <w:basedOn w:val="DefaultParagraphFont"/>
    <w:link w:val="Header"/>
    <w:uiPriority w:val="99"/>
    <w:rsid w:val="00EF24A6"/>
    <w:rPr>
      <w:rFonts w:ascii="Times New Roman" w:eastAsia="Times New Roman" w:hAnsi="Times New Roman" w:cs="Times New Roman"/>
      <w:sz w:val="20"/>
      <w:szCs w:val="20"/>
    </w:rPr>
  </w:style>
  <w:style w:type="paragraph" w:styleId="ListParagraph">
    <w:name w:val="List Paragraph"/>
    <w:basedOn w:val="Normal"/>
    <w:uiPriority w:val="34"/>
    <w:qFormat/>
    <w:rsid w:val="00DD4B94"/>
    <w:pPr>
      <w:ind w:left="720"/>
      <w:contextualSpacing/>
    </w:pPr>
  </w:style>
  <w:style w:type="paragraph" w:styleId="NoSpacing">
    <w:name w:val="No Spacing"/>
    <w:uiPriority w:val="1"/>
    <w:qFormat/>
    <w:rsid w:val="00561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7394"/>
    <w:rPr>
      <w:rFonts w:ascii="Tahoma" w:hAnsi="Tahoma" w:cs="Tahoma"/>
      <w:sz w:val="16"/>
      <w:szCs w:val="16"/>
    </w:rPr>
  </w:style>
  <w:style w:type="character" w:customStyle="1" w:styleId="BalloonTextChar">
    <w:name w:val="Balloon Text Char"/>
    <w:basedOn w:val="DefaultParagraphFont"/>
    <w:link w:val="BalloonText"/>
    <w:uiPriority w:val="99"/>
    <w:semiHidden/>
    <w:rsid w:val="00E073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25830"/>
    <w:pPr>
      <w:keepNext/>
      <w:overflowPunct/>
      <w:autoSpaceDE/>
      <w:autoSpaceDN/>
      <w:adjustRightInd/>
      <w:textAlignment w:val="auto"/>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830"/>
    <w:rPr>
      <w:rFonts w:ascii="Times New Roman" w:eastAsia="Times New Roman" w:hAnsi="Times New Roman" w:cs="Times New Roman"/>
      <w:b/>
      <w:sz w:val="20"/>
      <w:szCs w:val="20"/>
      <w:lang w:val="en-US"/>
    </w:rPr>
  </w:style>
  <w:style w:type="paragraph" w:styleId="Footer">
    <w:name w:val="footer"/>
    <w:basedOn w:val="Normal"/>
    <w:link w:val="FooterChar"/>
    <w:uiPriority w:val="99"/>
    <w:rsid w:val="00A25830"/>
    <w:pPr>
      <w:tabs>
        <w:tab w:val="center" w:pos="4320"/>
        <w:tab w:val="right" w:pos="8640"/>
      </w:tabs>
    </w:pPr>
  </w:style>
  <w:style w:type="character" w:customStyle="1" w:styleId="FooterChar">
    <w:name w:val="Footer Char"/>
    <w:basedOn w:val="DefaultParagraphFont"/>
    <w:link w:val="Footer"/>
    <w:uiPriority w:val="99"/>
    <w:rsid w:val="00A25830"/>
    <w:rPr>
      <w:rFonts w:ascii="Times New Roman" w:eastAsia="Times New Roman" w:hAnsi="Times New Roman" w:cs="Times New Roman"/>
      <w:sz w:val="20"/>
      <w:szCs w:val="20"/>
    </w:rPr>
  </w:style>
  <w:style w:type="character" w:styleId="PageNumber">
    <w:name w:val="page number"/>
    <w:basedOn w:val="DefaultParagraphFont"/>
    <w:rsid w:val="00A25830"/>
  </w:style>
  <w:style w:type="character" w:styleId="LineNumber">
    <w:name w:val="line number"/>
    <w:basedOn w:val="DefaultParagraphFont"/>
    <w:uiPriority w:val="99"/>
    <w:semiHidden/>
    <w:unhideWhenUsed/>
    <w:rsid w:val="00EE060B"/>
  </w:style>
  <w:style w:type="paragraph" w:styleId="Header">
    <w:name w:val="header"/>
    <w:basedOn w:val="Normal"/>
    <w:link w:val="HeaderChar"/>
    <w:uiPriority w:val="99"/>
    <w:unhideWhenUsed/>
    <w:rsid w:val="00EF24A6"/>
    <w:pPr>
      <w:tabs>
        <w:tab w:val="center" w:pos="4513"/>
        <w:tab w:val="right" w:pos="9026"/>
      </w:tabs>
    </w:pPr>
  </w:style>
  <w:style w:type="character" w:customStyle="1" w:styleId="HeaderChar">
    <w:name w:val="Header Char"/>
    <w:basedOn w:val="DefaultParagraphFont"/>
    <w:link w:val="Header"/>
    <w:uiPriority w:val="99"/>
    <w:rsid w:val="00EF24A6"/>
    <w:rPr>
      <w:rFonts w:ascii="Times New Roman" w:eastAsia="Times New Roman" w:hAnsi="Times New Roman" w:cs="Times New Roman"/>
      <w:sz w:val="20"/>
      <w:szCs w:val="20"/>
    </w:rPr>
  </w:style>
  <w:style w:type="paragraph" w:styleId="ListParagraph">
    <w:name w:val="List Paragraph"/>
    <w:basedOn w:val="Normal"/>
    <w:uiPriority w:val="34"/>
    <w:qFormat/>
    <w:rsid w:val="00DD4B94"/>
    <w:pPr>
      <w:ind w:left="720"/>
      <w:contextualSpacing/>
    </w:pPr>
  </w:style>
  <w:style w:type="paragraph" w:styleId="NoSpacing">
    <w:name w:val="No Spacing"/>
    <w:uiPriority w:val="1"/>
    <w:qFormat/>
    <w:rsid w:val="00561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7394"/>
    <w:rPr>
      <w:rFonts w:ascii="Tahoma" w:hAnsi="Tahoma" w:cs="Tahoma"/>
      <w:sz w:val="16"/>
      <w:szCs w:val="16"/>
    </w:rPr>
  </w:style>
  <w:style w:type="character" w:customStyle="1" w:styleId="BalloonTextChar">
    <w:name w:val="Balloon Text Char"/>
    <w:basedOn w:val="DefaultParagraphFont"/>
    <w:link w:val="BalloonText"/>
    <w:uiPriority w:val="99"/>
    <w:semiHidden/>
    <w:rsid w:val="00E073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9277">
      <w:bodyDiv w:val="1"/>
      <w:marLeft w:val="0"/>
      <w:marRight w:val="0"/>
      <w:marTop w:val="0"/>
      <w:marBottom w:val="0"/>
      <w:divBdr>
        <w:top w:val="none" w:sz="0" w:space="0" w:color="auto"/>
        <w:left w:val="none" w:sz="0" w:space="0" w:color="auto"/>
        <w:bottom w:val="none" w:sz="0" w:space="0" w:color="auto"/>
        <w:right w:val="none" w:sz="0" w:space="0" w:color="auto"/>
      </w:divBdr>
      <w:divsChild>
        <w:div w:id="1258754274">
          <w:marLeft w:val="0"/>
          <w:marRight w:val="0"/>
          <w:marTop w:val="0"/>
          <w:marBottom w:val="0"/>
          <w:divBdr>
            <w:top w:val="none" w:sz="0" w:space="0" w:color="auto"/>
            <w:left w:val="none" w:sz="0" w:space="0" w:color="auto"/>
            <w:bottom w:val="none" w:sz="0" w:space="0" w:color="auto"/>
            <w:right w:val="none" w:sz="0" w:space="0" w:color="auto"/>
          </w:divBdr>
          <w:divsChild>
            <w:div w:id="705250117">
              <w:marLeft w:val="0"/>
              <w:marRight w:val="0"/>
              <w:marTop w:val="0"/>
              <w:marBottom w:val="0"/>
              <w:divBdr>
                <w:top w:val="none" w:sz="0" w:space="0" w:color="auto"/>
                <w:left w:val="none" w:sz="0" w:space="0" w:color="auto"/>
                <w:bottom w:val="none" w:sz="0" w:space="0" w:color="auto"/>
                <w:right w:val="none" w:sz="0" w:space="0" w:color="auto"/>
              </w:divBdr>
              <w:divsChild>
                <w:div w:id="1756510346">
                  <w:marLeft w:val="0"/>
                  <w:marRight w:val="0"/>
                  <w:marTop w:val="0"/>
                  <w:marBottom w:val="0"/>
                  <w:divBdr>
                    <w:top w:val="none" w:sz="0" w:space="0" w:color="auto"/>
                    <w:left w:val="none" w:sz="0" w:space="0" w:color="auto"/>
                    <w:bottom w:val="none" w:sz="0" w:space="0" w:color="auto"/>
                    <w:right w:val="none" w:sz="0" w:space="0" w:color="auto"/>
                  </w:divBdr>
                  <w:divsChild>
                    <w:div w:id="496384077">
                      <w:marLeft w:val="0"/>
                      <w:marRight w:val="0"/>
                      <w:marTop w:val="0"/>
                      <w:marBottom w:val="0"/>
                      <w:divBdr>
                        <w:top w:val="none" w:sz="0" w:space="0" w:color="auto"/>
                        <w:left w:val="none" w:sz="0" w:space="0" w:color="auto"/>
                        <w:bottom w:val="none" w:sz="0" w:space="0" w:color="auto"/>
                        <w:right w:val="none" w:sz="0" w:space="0" w:color="auto"/>
                      </w:divBdr>
                      <w:divsChild>
                        <w:div w:id="487404798">
                          <w:marLeft w:val="0"/>
                          <w:marRight w:val="0"/>
                          <w:marTop w:val="0"/>
                          <w:marBottom w:val="0"/>
                          <w:divBdr>
                            <w:top w:val="none" w:sz="0" w:space="0" w:color="auto"/>
                            <w:left w:val="none" w:sz="0" w:space="0" w:color="auto"/>
                            <w:bottom w:val="none" w:sz="0" w:space="0" w:color="auto"/>
                            <w:right w:val="none" w:sz="0" w:space="0" w:color="auto"/>
                          </w:divBdr>
                          <w:divsChild>
                            <w:div w:id="1192917672">
                              <w:marLeft w:val="0"/>
                              <w:marRight w:val="0"/>
                              <w:marTop w:val="0"/>
                              <w:marBottom w:val="0"/>
                              <w:divBdr>
                                <w:top w:val="none" w:sz="0" w:space="0" w:color="auto"/>
                                <w:left w:val="none" w:sz="0" w:space="0" w:color="auto"/>
                                <w:bottom w:val="none" w:sz="0" w:space="0" w:color="auto"/>
                                <w:right w:val="none" w:sz="0" w:space="0" w:color="auto"/>
                              </w:divBdr>
                              <w:divsChild>
                                <w:div w:id="743916897">
                                  <w:marLeft w:val="0"/>
                                  <w:marRight w:val="0"/>
                                  <w:marTop w:val="0"/>
                                  <w:marBottom w:val="0"/>
                                  <w:divBdr>
                                    <w:top w:val="none" w:sz="0" w:space="0" w:color="auto"/>
                                    <w:left w:val="none" w:sz="0" w:space="0" w:color="auto"/>
                                    <w:bottom w:val="none" w:sz="0" w:space="0" w:color="auto"/>
                                    <w:right w:val="none" w:sz="0" w:space="0" w:color="auto"/>
                                  </w:divBdr>
                                  <w:divsChild>
                                    <w:div w:id="718943987">
                                      <w:marLeft w:val="0"/>
                                      <w:marRight w:val="0"/>
                                      <w:marTop w:val="0"/>
                                      <w:marBottom w:val="0"/>
                                      <w:divBdr>
                                        <w:top w:val="none" w:sz="0" w:space="0" w:color="auto"/>
                                        <w:left w:val="none" w:sz="0" w:space="0" w:color="auto"/>
                                        <w:bottom w:val="none" w:sz="0" w:space="0" w:color="auto"/>
                                        <w:right w:val="none" w:sz="0" w:space="0" w:color="auto"/>
                                      </w:divBdr>
                                      <w:divsChild>
                                        <w:div w:id="146363776">
                                          <w:marLeft w:val="0"/>
                                          <w:marRight w:val="0"/>
                                          <w:marTop w:val="0"/>
                                          <w:marBottom w:val="0"/>
                                          <w:divBdr>
                                            <w:top w:val="none" w:sz="0" w:space="0" w:color="auto"/>
                                            <w:left w:val="none" w:sz="0" w:space="0" w:color="auto"/>
                                            <w:bottom w:val="none" w:sz="0" w:space="0" w:color="auto"/>
                                            <w:right w:val="none" w:sz="0" w:space="0" w:color="auto"/>
                                          </w:divBdr>
                                          <w:divsChild>
                                            <w:div w:id="181288044">
                                              <w:marLeft w:val="0"/>
                                              <w:marRight w:val="0"/>
                                              <w:marTop w:val="0"/>
                                              <w:marBottom w:val="0"/>
                                              <w:divBdr>
                                                <w:top w:val="none" w:sz="0" w:space="0" w:color="auto"/>
                                                <w:left w:val="none" w:sz="0" w:space="0" w:color="auto"/>
                                                <w:bottom w:val="none" w:sz="0" w:space="0" w:color="auto"/>
                                                <w:right w:val="none" w:sz="0" w:space="0" w:color="auto"/>
                                              </w:divBdr>
                                              <w:divsChild>
                                                <w:div w:id="1244533108">
                                                  <w:marLeft w:val="0"/>
                                                  <w:marRight w:val="0"/>
                                                  <w:marTop w:val="0"/>
                                                  <w:marBottom w:val="0"/>
                                                  <w:divBdr>
                                                    <w:top w:val="none" w:sz="0" w:space="0" w:color="auto"/>
                                                    <w:left w:val="none" w:sz="0" w:space="0" w:color="auto"/>
                                                    <w:bottom w:val="none" w:sz="0" w:space="0" w:color="auto"/>
                                                    <w:right w:val="none" w:sz="0" w:space="0" w:color="auto"/>
                                                  </w:divBdr>
                                                  <w:divsChild>
                                                    <w:div w:id="298221138">
                                                      <w:marLeft w:val="0"/>
                                                      <w:marRight w:val="0"/>
                                                      <w:marTop w:val="0"/>
                                                      <w:marBottom w:val="0"/>
                                                      <w:divBdr>
                                                        <w:top w:val="none" w:sz="0" w:space="0" w:color="auto"/>
                                                        <w:left w:val="none" w:sz="0" w:space="0" w:color="auto"/>
                                                        <w:bottom w:val="none" w:sz="0" w:space="0" w:color="auto"/>
                                                        <w:right w:val="none" w:sz="0" w:space="0" w:color="auto"/>
                                                      </w:divBdr>
                                                      <w:divsChild>
                                                        <w:div w:id="1575772537">
                                                          <w:marLeft w:val="0"/>
                                                          <w:marRight w:val="0"/>
                                                          <w:marTop w:val="0"/>
                                                          <w:marBottom w:val="0"/>
                                                          <w:divBdr>
                                                            <w:top w:val="none" w:sz="0" w:space="0" w:color="auto"/>
                                                            <w:left w:val="none" w:sz="0" w:space="0" w:color="auto"/>
                                                            <w:bottom w:val="none" w:sz="0" w:space="0" w:color="auto"/>
                                                            <w:right w:val="none" w:sz="0" w:space="0" w:color="auto"/>
                                                          </w:divBdr>
                                                          <w:divsChild>
                                                            <w:div w:id="624192705">
                                                              <w:marLeft w:val="0"/>
                                                              <w:marRight w:val="0"/>
                                                              <w:marTop w:val="0"/>
                                                              <w:marBottom w:val="0"/>
                                                              <w:divBdr>
                                                                <w:top w:val="none" w:sz="0" w:space="0" w:color="auto"/>
                                                                <w:left w:val="none" w:sz="0" w:space="0" w:color="auto"/>
                                                                <w:bottom w:val="none" w:sz="0" w:space="0" w:color="auto"/>
                                                                <w:right w:val="none" w:sz="0" w:space="0" w:color="auto"/>
                                                              </w:divBdr>
                                                              <w:divsChild>
                                                                <w:div w:id="2107312430">
                                                                  <w:marLeft w:val="0"/>
                                                                  <w:marRight w:val="0"/>
                                                                  <w:marTop w:val="0"/>
                                                                  <w:marBottom w:val="0"/>
                                                                  <w:divBdr>
                                                                    <w:top w:val="none" w:sz="0" w:space="0" w:color="auto"/>
                                                                    <w:left w:val="none" w:sz="0" w:space="0" w:color="auto"/>
                                                                    <w:bottom w:val="none" w:sz="0" w:space="0" w:color="auto"/>
                                                                    <w:right w:val="none" w:sz="0" w:space="0" w:color="auto"/>
                                                                  </w:divBdr>
                                                                  <w:divsChild>
                                                                    <w:div w:id="119156109">
                                                                      <w:marLeft w:val="0"/>
                                                                      <w:marRight w:val="0"/>
                                                                      <w:marTop w:val="0"/>
                                                                      <w:marBottom w:val="0"/>
                                                                      <w:divBdr>
                                                                        <w:top w:val="none" w:sz="0" w:space="0" w:color="auto"/>
                                                                        <w:left w:val="none" w:sz="0" w:space="0" w:color="auto"/>
                                                                        <w:bottom w:val="none" w:sz="0" w:space="0" w:color="auto"/>
                                                                        <w:right w:val="none" w:sz="0" w:space="0" w:color="auto"/>
                                                                      </w:divBdr>
                                                                      <w:divsChild>
                                                                        <w:div w:id="1336230863">
                                                                          <w:marLeft w:val="0"/>
                                                                          <w:marRight w:val="0"/>
                                                                          <w:marTop w:val="0"/>
                                                                          <w:marBottom w:val="0"/>
                                                                          <w:divBdr>
                                                                            <w:top w:val="none" w:sz="0" w:space="0" w:color="auto"/>
                                                                            <w:left w:val="none" w:sz="0" w:space="0" w:color="auto"/>
                                                                            <w:bottom w:val="none" w:sz="0" w:space="0" w:color="auto"/>
                                                                            <w:right w:val="none" w:sz="0" w:space="0" w:color="auto"/>
                                                                          </w:divBdr>
                                                                          <w:divsChild>
                                                                            <w:div w:id="1172572670">
                                                                              <w:marLeft w:val="0"/>
                                                                              <w:marRight w:val="0"/>
                                                                              <w:marTop w:val="0"/>
                                                                              <w:marBottom w:val="0"/>
                                                                              <w:divBdr>
                                                                                <w:top w:val="none" w:sz="0" w:space="0" w:color="auto"/>
                                                                                <w:left w:val="none" w:sz="0" w:space="0" w:color="auto"/>
                                                                                <w:bottom w:val="none" w:sz="0" w:space="0" w:color="auto"/>
                                                                                <w:right w:val="none" w:sz="0" w:space="0" w:color="auto"/>
                                                                              </w:divBdr>
                                                                              <w:divsChild>
                                                                                <w:div w:id="490562852">
                                                                                  <w:marLeft w:val="0"/>
                                                                                  <w:marRight w:val="0"/>
                                                                                  <w:marTop w:val="0"/>
                                                                                  <w:marBottom w:val="0"/>
                                                                                  <w:divBdr>
                                                                                    <w:top w:val="none" w:sz="0" w:space="0" w:color="auto"/>
                                                                                    <w:left w:val="none" w:sz="0" w:space="0" w:color="auto"/>
                                                                                    <w:bottom w:val="none" w:sz="0" w:space="0" w:color="auto"/>
                                                                                    <w:right w:val="none" w:sz="0" w:space="0" w:color="auto"/>
                                                                                  </w:divBdr>
                                                                                  <w:divsChild>
                                                                                    <w:div w:id="73281740">
                                                                                      <w:marLeft w:val="0"/>
                                                                                      <w:marRight w:val="0"/>
                                                                                      <w:marTop w:val="0"/>
                                                                                      <w:marBottom w:val="0"/>
                                                                                      <w:divBdr>
                                                                                        <w:top w:val="none" w:sz="0" w:space="0" w:color="auto"/>
                                                                                        <w:left w:val="none" w:sz="0" w:space="0" w:color="auto"/>
                                                                                        <w:bottom w:val="none" w:sz="0" w:space="0" w:color="auto"/>
                                                                                        <w:right w:val="none" w:sz="0" w:space="0" w:color="auto"/>
                                                                                      </w:divBdr>
                                                                                      <w:divsChild>
                                                                                        <w:div w:id="1815371636">
                                                                                          <w:marLeft w:val="0"/>
                                                                                          <w:marRight w:val="0"/>
                                                                                          <w:marTop w:val="0"/>
                                                                                          <w:marBottom w:val="0"/>
                                                                                          <w:divBdr>
                                                                                            <w:top w:val="none" w:sz="0" w:space="0" w:color="auto"/>
                                                                                            <w:left w:val="none" w:sz="0" w:space="0" w:color="auto"/>
                                                                                            <w:bottom w:val="none" w:sz="0" w:space="0" w:color="auto"/>
                                                                                            <w:right w:val="none" w:sz="0" w:space="0" w:color="auto"/>
                                                                                          </w:divBdr>
                                                                                          <w:divsChild>
                                                                                            <w:div w:id="945889612">
                                                                                              <w:marLeft w:val="0"/>
                                                                                              <w:marRight w:val="0"/>
                                                                                              <w:marTop w:val="0"/>
                                                                                              <w:marBottom w:val="0"/>
                                                                                              <w:divBdr>
                                                                                                <w:top w:val="none" w:sz="0" w:space="0" w:color="auto"/>
                                                                                                <w:left w:val="none" w:sz="0" w:space="0" w:color="auto"/>
                                                                                                <w:bottom w:val="none" w:sz="0" w:space="0" w:color="auto"/>
                                                                                                <w:right w:val="none" w:sz="0" w:space="0" w:color="auto"/>
                                                                                              </w:divBdr>
                                                                                              <w:divsChild>
                                                                                                <w:div w:id="167791079">
                                                                                                  <w:marLeft w:val="0"/>
                                                                                                  <w:marRight w:val="0"/>
                                                                                                  <w:marTop w:val="0"/>
                                                                                                  <w:marBottom w:val="0"/>
                                                                                                  <w:divBdr>
                                                                                                    <w:top w:val="none" w:sz="0" w:space="0" w:color="auto"/>
                                                                                                    <w:left w:val="none" w:sz="0" w:space="0" w:color="auto"/>
                                                                                                    <w:bottom w:val="none" w:sz="0" w:space="0" w:color="auto"/>
                                                                                                    <w:right w:val="none" w:sz="0" w:space="0" w:color="auto"/>
                                                                                                  </w:divBdr>
                                                                                                  <w:divsChild>
                                                                                                    <w:div w:id="1824000698">
                                                                                                      <w:marLeft w:val="0"/>
                                                                                                      <w:marRight w:val="0"/>
                                                                                                      <w:marTop w:val="0"/>
                                                                                                      <w:marBottom w:val="0"/>
                                                                                                      <w:divBdr>
                                                                                                        <w:top w:val="none" w:sz="0" w:space="0" w:color="auto"/>
                                                                                                        <w:left w:val="none" w:sz="0" w:space="0" w:color="auto"/>
                                                                                                        <w:bottom w:val="none" w:sz="0" w:space="0" w:color="auto"/>
                                                                                                        <w:right w:val="none" w:sz="0" w:space="0" w:color="auto"/>
                                                                                                      </w:divBdr>
                                                                                                      <w:divsChild>
                                                                                                        <w:div w:id="1877159068">
                                                                                                          <w:marLeft w:val="0"/>
                                                                                                          <w:marRight w:val="0"/>
                                                                                                          <w:marTop w:val="0"/>
                                                                                                          <w:marBottom w:val="0"/>
                                                                                                          <w:divBdr>
                                                                                                            <w:top w:val="none" w:sz="0" w:space="0" w:color="auto"/>
                                                                                                            <w:left w:val="none" w:sz="0" w:space="0" w:color="auto"/>
                                                                                                            <w:bottom w:val="none" w:sz="0" w:space="0" w:color="auto"/>
                                                                                                            <w:right w:val="none" w:sz="0" w:space="0" w:color="auto"/>
                                                                                                          </w:divBdr>
                                                                                                          <w:divsChild>
                                                                                                            <w:div w:id="1173762204">
                                                                                                              <w:marLeft w:val="0"/>
                                                                                                              <w:marRight w:val="0"/>
                                                                                                              <w:marTop w:val="0"/>
                                                                                                              <w:marBottom w:val="0"/>
                                                                                                              <w:divBdr>
                                                                                                                <w:top w:val="none" w:sz="0" w:space="0" w:color="auto"/>
                                                                                                                <w:left w:val="none" w:sz="0" w:space="0" w:color="auto"/>
                                                                                                                <w:bottom w:val="none" w:sz="0" w:space="0" w:color="auto"/>
                                                                                                                <w:right w:val="none" w:sz="0" w:space="0" w:color="auto"/>
                                                                                                              </w:divBdr>
                                                                                                              <w:divsChild>
                                                                                                                <w:div w:id="2050059050">
                                                                                                                  <w:marLeft w:val="0"/>
                                                                                                                  <w:marRight w:val="0"/>
                                                                                                                  <w:marTop w:val="0"/>
                                                                                                                  <w:marBottom w:val="0"/>
                                                                                                                  <w:divBdr>
                                                                                                                    <w:top w:val="none" w:sz="0" w:space="0" w:color="auto"/>
                                                                                                                    <w:left w:val="none" w:sz="0" w:space="0" w:color="auto"/>
                                                                                                                    <w:bottom w:val="none" w:sz="0" w:space="0" w:color="auto"/>
                                                                                                                    <w:right w:val="none" w:sz="0" w:space="0" w:color="auto"/>
                                                                                                                  </w:divBdr>
                                                                                                                  <w:divsChild>
                                                                                                                    <w:div w:id="1347749545">
                                                                                                                      <w:marLeft w:val="0"/>
                                                                                                                      <w:marRight w:val="0"/>
                                                                                                                      <w:marTop w:val="0"/>
                                                                                                                      <w:marBottom w:val="0"/>
                                                                                                                      <w:divBdr>
                                                                                                                        <w:top w:val="none" w:sz="0" w:space="0" w:color="auto"/>
                                                                                                                        <w:left w:val="none" w:sz="0" w:space="0" w:color="auto"/>
                                                                                                                        <w:bottom w:val="none" w:sz="0" w:space="0" w:color="auto"/>
                                                                                                                        <w:right w:val="none" w:sz="0" w:space="0" w:color="auto"/>
                                                                                                                      </w:divBdr>
                                                                                                                      <w:divsChild>
                                                                                                                        <w:div w:id="1200358406">
                                                                                                                          <w:marLeft w:val="0"/>
                                                                                                                          <w:marRight w:val="0"/>
                                                                                                                          <w:marTop w:val="0"/>
                                                                                                                          <w:marBottom w:val="0"/>
                                                                                                                          <w:divBdr>
                                                                                                                            <w:top w:val="none" w:sz="0" w:space="0" w:color="auto"/>
                                                                                                                            <w:left w:val="none" w:sz="0" w:space="0" w:color="auto"/>
                                                                                                                            <w:bottom w:val="none" w:sz="0" w:space="0" w:color="auto"/>
                                                                                                                            <w:right w:val="none" w:sz="0" w:space="0" w:color="auto"/>
                                                                                                                          </w:divBdr>
                                                                                                                          <w:divsChild>
                                                                                                                            <w:div w:id="890382888">
                                                                                                                              <w:marLeft w:val="0"/>
                                                                                                                              <w:marRight w:val="0"/>
                                                                                                                              <w:marTop w:val="0"/>
                                                                                                                              <w:marBottom w:val="0"/>
                                                                                                                              <w:divBdr>
                                                                                                                                <w:top w:val="none" w:sz="0" w:space="0" w:color="auto"/>
                                                                                                                                <w:left w:val="none" w:sz="0" w:space="0" w:color="auto"/>
                                                                                                                                <w:bottom w:val="none" w:sz="0" w:space="0" w:color="auto"/>
                                                                                                                                <w:right w:val="none" w:sz="0" w:space="0" w:color="auto"/>
                                                                                                                              </w:divBdr>
                                                                                                                              <w:divsChild>
                                                                                                                                <w:div w:id="1213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205">
      <w:bodyDiv w:val="1"/>
      <w:marLeft w:val="0"/>
      <w:marRight w:val="0"/>
      <w:marTop w:val="0"/>
      <w:marBottom w:val="0"/>
      <w:divBdr>
        <w:top w:val="none" w:sz="0" w:space="0" w:color="auto"/>
        <w:left w:val="none" w:sz="0" w:space="0" w:color="auto"/>
        <w:bottom w:val="none" w:sz="0" w:space="0" w:color="auto"/>
        <w:right w:val="none" w:sz="0" w:space="0" w:color="auto"/>
      </w:divBdr>
      <w:divsChild>
        <w:div w:id="1036588188">
          <w:marLeft w:val="0"/>
          <w:marRight w:val="0"/>
          <w:marTop w:val="0"/>
          <w:marBottom w:val="0"/>
          <w:divBdr>
            <w:top w:val="none" w:sz="0" w:space="0" w:color="auto"/>
            <w:left w:val="none" w:sz="0" w:space="0" w:color="auto"/>
            <w:bottom w:val="none" w:sz="0" w:space="0" w:color="auto"/>
            <w:right w:val="none" w:sz="0" w:space="0" w:color="auto"/>
          </w:divBdr>
          <w:divsChild>
            <w:div w:id="1473988561">
              <w:marLeft w:val="0"/>
              <w:marRight w:val="0"/>
              <w:marTop w:val="0"/>
              <w:marBottom w:val="0"/>
              <w:divBdr>
                <w:top w:val="none" w:sz="0" w:space="0" w:color="auto"/>
                <w:left w:val="none" w:sz="0" w:space="0" w:color="auto"/>
                <w:bottom w:val="none" w:sz="0" w:space="0" w:color="auto"/>
                <w:right w:val="none" w:sz="0" w:space="0" w:color="auto"/>
              </w:divBdr>
              <w:divsChild>
                <w:div w:id="1600601822">
                  <w:marLeft w:val="0"/>
                  <w:marRight w:val="0"/>
                  <w:marTop w:val="0"/>
                  <w:marBottom w:val="0"/>
                  <w:divBdr>
                    <w:top w:val="none" w:sz="0" w:space="0" w:color="auto"/>
                    <w:left w:val="none" w:sz="0" w:space="0" w:color="auto"/>
                    <w:bottom w:val="none" w:sz="0" w:space="0" w:color="auto"/>
                    <w:right w:val="none" w:sz="0" w:space="0" w:color="auto"/>
                  </w:divBdr>
                  <w:divsChild>
                    <w:div w:id="1683042527">
                      <w:marLeft w:val="0"/>
                      <w:marRight w:val="0"/>
                      <w:marTop w:val="0"/>
                      <w:marBottom w:val="0"/>
                      <w:divBdr>
                        <w:top w:val="none" w:sz="0" w:space="0" w:color="auto"/>
                        <w:left w:val="none" w:sz="0" w:space="0" w:color="auto"/>
                        <w:bottom w:val="none" w:sz="0" w:space="0" w:color="auto"/>
                        <w:right w:val="none" w:sz="0" w:space="0" w:color="auto"/>
                      </w:divBdr>
                      <w:divsChild>
                        <w:div w:id="1979727315">
                          <w:marLeft w:val="0"/>
                          <w:marRight w:val="0"/>
                          <w:marTop w:val="0"/>
                          <w:marBottom w:val="0"/>
                          <w:divBdr>
                            <w:top w:val="none" w:sz="0" w:space="0" w:color="auto"/>
                            <w:left w:val="none" w:sz="0" w:space="0" w:color="auto"/>
                            <w:bottom w:val="none" w:sz="0" w:space="0" w:color="auto"/>
                            <w:right w:val="none" w:sz="0" w:space="0" w:color="auto"/>
                          </w:divBdr>
                          <w:divsChild>
                            <w:div w:id="1135294568">
                              <w:marLeft w:val="0"/>
                              <w:marRight w:val="0"/>
                              <w:marTop w:val="0"/>
                              <w:marBottom w:val="0"/>
                              <w:divBdr>
                                <w:top w:val="none" w:sz="0" w:space="0" w:color="auto"/>
                                <w:left w:val="none" w:sz="0" w:space="0" w:color="auto"/>
                                <w:bottom w:val="none" w:sz="0" w:space="0" w:color="auto"/>
                                <w:right w:val="none" w:sz="0" w:space="0" w:color="auto"/>
                              </w:divBdr>
                              <w:divsChild>
                                <w:div w:id="1267227176">
                                  <w:marLeft w:val="0"/>
                                  <w:marRight w:val="0"/>
                                  <w:marTop w:val="0"/>
                                  <w:marBottom w:val="0"/>
                                  <w:divBdr>
                                    <w:top w:val="none" w:sz="0" w:space="0" w:color="auto"/>
                                    <w:left w:val="none" w:sz="0" w:space="0" w:color="auto"/>
                                    <w:bottom w:val="none" w:sz="0" w:space="0" w:color="auto"/>
                                    <w:right w:val="none" w:sz="0" w:space="0" w:color="auto"/>
                                  </w:divBdr>
                                  <w:divsChild>
                                    <w:div w:id="164054053">
                                      <w:marLeft w:val="0"/>
                                      <w:marRight w:val="0"/>
                                      <w:marTop w:val="0"/>
                                      <w:marBottom w:val="0"/>
                                      <w:divBdr>
                                        <w:top w:val="none" w:sz="0" w:space="0" w:color="auto"/>
                                        <w:left w:val="none" w:sz="0" w:space="0" w:color="auto"/>
                                        <w:bottom w:val="none" w:sz="0" w:space="0" w:color="auto"/>
                                        <w:right w:val="none" w:sz="0" w:space="0" w:color="auto"/>
                                      </w:divBdr>
                                      <w:divsChild>
                                        <w:div w:id="166093914">
                                          <w:marLeft w:val="0"/>
                                          <w:marRight w:val="0"/>
                                          <w:marTop w:val="0"/>
                                          <w:marBottom w:val="0"/>
                                          <w:divBdr>
                                            <w:top w:val="none" w:sz="0" w:space="0" w:color="auto"/>
                                            <w:left w:val="none" w:sz="0" w:space="0" w:color="auto"/>
                                            <w:bottom w:val="none" w:sz="0" w:space="0" w:color="auto"/>
                                            <w:right w:val="none" w:sz="0" w:space="0" w:color="auto"/>
                                          </w:divBdr>
                                          <w:divsChild>
                                            <w:div w:id="952902218">
                                              <w:marLeft w:val="0"/>
                                              <w:marRight w:val="0"/>
                                              <w:marTop w:val="0"/>
                                              <w:marBottom w:val="0"/>
                                              <w:divBdr>
                                                <w:top w:val="none" w:sz="0" w:space="0" w:color="auto"/>
                                                <w:left w:val="none" w:sz="0" w:space="0" w:color="auto"/>
                                                <w:bottom w:val="none" w:sz="0" w:space="0" w:color="auto"/>
                                                <w:right w:val="none" w:sz="0" w:space="0" w:color="auto"/>
                                              </w:divBdr>
                                              <w:divsChild>
                                                <w:div w:id="970482239">
                                                  <w:marLeft w:val="0"/>
                                                  <w:marRight w:val="0"/>
                                                  <w:marTop w:val="0"/>
                                                  <w:marBottom w:val="0"/>
                                                  <w:divBdr>
                                                    <w:top w:val="none" w:sz="0" w:space="0" w:color="auto"/>
                                                    <w:left w:val="none" w:sz="0" w:space="0" w:color="auto"/>
                                                    <w:bottom w:val="none" w:sz="0" w:space="0" w:color="auto"/>
                                                    <w:right w:val="none" w:sz="0" w:space="0" w:color="auto"/>
                                                  </w:divBdr>
                                                  <w:divsChild>
                                                    <w:div w:id="144705137">
                                                      <w:marLeft w:val="0"/>
                                                      <w:marRight w:val="0"/>
                                                      <w:marTop w:val="0"/>
                                                      <w:marBottom w:val="0"/>
                                                      <w:divBdr>
                                                        <w:top w:val="none" w:sz="0" w:space="0" w:color="auto"/>
                                                        <w:left w:val="none" w:sz="0" w:space="0" w:color="auto"/>
                                                        <w:bottom w:val="none" w:sz="0" w:space="0" w:color="auto"/>
                                                        <w:right w:val="none" w:sz="0" w:space="0" w:color="auto"/>
                                                      </w:divBdr>
                                                      <w:divsChild>
                                                        <w:div w:id="1784957917">
                                                          <w:marLeft w:val="0"/>
                                                          <w:marRight w:val="0"/>
                                                          <w:marTop w:val="0"/>
                                                          <w:marBottom w:val="0"/>
                                                          <w:divBdr>
                                                            <w:top w:val="none" w:sz="0" w:space="0" w:color="auto"/>
                                                            <w:left w:val="none" w:sz="0" w:space="0" w:color="auto"/>
                                                            <w:bottom w:val="none" w:sz="0" w:space="0" w:color="auto"/>
                                                            <w:right w:val="none" w:sz="0" w:space="0" w:color="auto"/>
                                                          </w:divBdr>
                                                          <w:divsChild>
                                                            <w:div w:id="1723598394">
                                                              <w:marLeft w:val="0"/>
                                                              <w:marRight w:val="0"/>
                                                              <w:marTop w:val="0"/>
                                                              <w:marBottom w:val="0"/>
                                                              <w:divBdr>
                                                                <w:top w:val="none" w:sz="0" w:space="0" w:color="auto"/>
                                                                <w:left w:val="none" w:sz="0" w:space="0" w:color="auto"/>
                                                                <w:bottom w:val="none" w:sz="0" w:space="0" w:color="auto"/>
                                                                <w:right w:val="none" w:sz="0" w:space="0" w:color="auto"/>
                                                              </w:divBdr>
                                                              <w:divsChild>
                                                                <w:div w:id="825629657">
                                                                  <w:marLeft w:val="0"/>
                                                                  <w:marRight w:val="0"/>
                                                                  <w:marTop w:val="0"/>
                                                                  <w:marBottom w:val="0"/>
                                                                  <w:divBdr>
                                                                    <w:top w:val="none" w:sz="0" w:space="0" w:color="auto"/>
                                                                    <w:left w:val="none" w:sz="0" w:space="0" w:color="auto"/>
                                                                    <w:bottom w:val="none" w:sz="0" w:space="0" w:color="auto"/>
                                                                    <w:right w:val="none" w:sz="0" w:space="0" w:color="auto"/>
                                                                  </w:divBdr>
                                                                  <w:divsChild>
                                                                    <w:div w:id="1832912684">
                                                                      <w:marLeft w:val="0"/>
                                                                      <w:marRight w:val="0"/>
                                                                      <w:marTop w:val="0"/>
                                                                      <w:marBottom w:val="0"/>
                                                                      <w:divBdr>
                                                                        <w:top w:val="none" w:sz="0" w:space="0" w:color="auto"/>
                                                                        <w:left w:val="none" w:sz="0" w:space="0" w:color="auto"/>
                                                                        <w:bottom w:val="none" w:sz="0" w:space="0" w:color="auto"/>
                                                                        <w:right w:val="none" w:sz="0" w:space="0" w:color="auto"/>
                                                                      </w:divBdr>
                                                                      <w:divsChild>
                                                                        <w:div w:id="379788871">
                                                                          <w:marLeft w:val="0"/>
                                                                          <w:marRight w:val="0"/>
                                                                          <w:marTop w:val="0"/>
                                                                          <w:marBottom w:val="0"/>
                                                                          <w:divBdr>
                                                                            <w:top w:val="none" w:sz="0" w:space="0" w:color="auto"/>
                                                                            <w:left w:val="none" w:sz="0" w:space="0" w:color="auto"/>
                                                                            <w:bottom w:val="none" w:sz="0" w:space="0" w:color="auto"/>
                                                                            <w:right w:val="none" w:sz="0" w:space="0" w:color="auto"/>
                                                                          </w:divBdr>
                                                                          <w:divsChild>
                                                                            <w:div w:id="1113095674">
                                                                              <w:marLeft w:val="0"/>
                                                                              <w:marRight w:val="0"/>
                                                                              <w:marTop w:val="0"/>
                                                                              <w:marBottom w:val="0"/>
                                                                              <w:divBdr>
                                                                                <w:top w:val="none" w:sz="0" w:space="0" w:color="auto"/>
                                                                                <w:left w:val="none" w:sz="0" w:space="0" w:color="auto"/>
                                                                                <w:bottom w:val="none" w:sz="0" w:space="0" w:color="auto"/>
                                                                                <w:right w:val="none" w:sz="0" w:space="0" w:color="auto"/>
                                                                              </w:divBdr>
                                                                              <w:divsChild>
                                                                                <w:div w:id="540285912">
                                                                                  <w:marLeft w:val="0"/>
                                                                                  <w:marRight w:val="0"/>
                                                                                  <w:marTop w:val="0"/>
                                                                                  <w:marBottom w:val="0"/>
                                                                                  <w:divBdr>
                                                                                    <w:top w:val="none" w:sz="0" w:space="0" w:color="auto"/>
                                                                                    <w:left w:val="none" w:sz="0" w:space="0" w:color="auto"/>
                                                                                    <w:bottom w:val="none" w:sz="0" w:space="0" w:color="auto"/>
                                                                                    <w:right w:val="none" w:sz="0" w:space="0" w:color="auto"/>
                                                                                  </w:divBdr>
                                                                                  <w:divsChild>
                                                                                    <w:div w:id="1173572851">
                                                                                      <w:marLeft w:val="0"/>
                                                                                      <w:marRight w:val="0"/>
                                                                                      <w:marTop w:val="0"/>
                                                                                      <w:marBottom w:val="0"/>
                                                                                      <w:divBdr>
                                                                                        <w:top w:val="none" w:sz="0" w:space="0" w:color="auto"/>
                                                                                        <w:left w:val="none" w:sz="0" w:space="0" w:color="auto"/>
                                                                                        <w:bottom w:val="none" w:sz="0" w:space="0" w:color="auto"/>
                                                                                        <w:right w:val="none" w:sz="0" w:space="0" w:color="auto"/>
                                                                                      </w:divBdr>
                                                                                      <w:divsChild>
                                                                                        <w:div w:id="969899689">
                                                                                          <w:marLeft w:val="0"/>
                                                                                          <w:marRight w:val="0"/>
                                                                                          <w:marTop w:val="0"/>
                                                                                          <w:marBottom w:val="0"/>
                                                                                          <w:divBdr>
                                                                                            <w:top w:val="none" w:sz="0" w:space="0" w:color="auto"/>
                                                                                            <w:left w:val="none" w:sz="0" w:space="0" w:color="auto"/>
                                                                                            <w:bottom w:val="none" w:sz="0" w:space="0" w:color="auto"/>
                                                                                            <w:right w:val="none" w:sz="0" w:space="0" w:color="auto"/>
                                                                                          </w:divBdr>
                                                                                          <w:divsChild>
                                                                                            <w:div w:id="332874224">
                                                                                              <w:marLeft w:val="0"/>
                                                                                              <w:marRight w:val="0"/>
                                                                                              <w:marTop w:val="0"/>
                                                                                              <w:marBottom w:val="0"/>
                                                                                              <w:divBdr>
                                                                                                <w:top w:val="none" w:sz="0" w:space="0" w:color="auto"/>
                                                                                                <w:left w:val="none" w:sz="0" w:space="0" w:color="auto"/>
                                                                                                <w:bottom w:val="none" w:sz="0" w:space="0" w:color="auto"/>
                                                                                                <w:right w:val="none" w:sz="0" w:space="0" w:color="auto"/>
                                                                                              </w:divBdr>
                                                                                              <w:divsChild>
                                                                                                <w:div w:id="982387737">
                                                                                                  <w:marLeft w:val="0"/>
                                                                                                  <w:marRight w:val="0"/>
                                                                                                  <w:marTop w:val="0"/>
                                                                                                  <w:marBottom w:val="0"/>
                                                                                                  <w:divBdr>
                                                                                                    <w:top w:val="none" w:sz="0" w:space="0" w:color="auto"/>
                                                                                                    <w:left w:val="none" w:sz="0" w:space="0" w:color="auto"/>
                                                                                                    <w:bottom w:val="none" w:sz="0" w:space="0" w:color="auto"/>
                                                                                                    <w:right w:val="none" w:sz="0" w:space="0" w:color="auto"/>
                                                                                                  </w:divBdr>
                                                                                                  <w:divsChild>
                                                                                                    <w:div w:id="2013877816">
                                                                                                      <w:marLeft w:val="0"/>
                                                                                                      <w:marRight w:val="0"/>
                                                                                                      <w:marTop w:val="0"/>
                                                                                                      <w:marBottom w:val="0"/>
                                                                                                      <w:divBdr>
                                                                                                        <w:top w:val="none" w:sz="0" w:space="0" w:color="auto"/>
                                                                                                        <w:left w:val="none" w:sz="0" w:space="0" w:color="auto"/>
                                                                                                        <w:bottom w:val="none" w:sz="0" w:space="0" w:color="auto"/>
                                                                                                        <w:right w:val="none" w:sz="0" w:space="0" w:color="auto"/>
                                                                                                      </w:divBdr>
                                                                                                      <w:divsChild>
                                                                                                        <w:div w:id="1494637754">
                                                                                                          <w:marLeft w:val="0"/>
                                                                                                          <w:marRight w:val="0"/>
                                                                                                          <w:marTop w:val="0"/>
                                                                                                          <w:marBottom w:val="0"/>
                                                                                                          <w:divBdr>
                                                                                                            <w:top w:val="none" w:sz="0" w:space="0" w:color="auto"/>
                                                                                                            <w:left w:val="none" w:sz="0" w:space="0" w:color="auto"/>
                                                                                                            <w:bottom w:val="none" w:sz="0" w:space="0" w:color="auto"/>
                                                                                                            <w:right w:val="none" w:sz="0" w:space="0" w:color="auto"/>
                                                                                                          </w:divBdr>
                                                                                                          <w:divsChild>
                                                                                                            <w:div w:id="1668483308">
                                                                                                              <w:marLeft w:val="0"/>
                                                                                                              <w:marRight w:val="0"/>
                                                                                                              <w:marTop w:val="0"/>
                                                                                                              <w:marBottom w:val="0"/>
                                                                                                              <w:divBdr>
                                                                                                                <w:top w:val="none" w:sz="0" w:space="0" w:color="auto"/>
                                                                                                                <w:left w:val="none" w:sz="0" w:space="0" w:color="auto"/>
                                                                                                                <w:bottom w:val="none" w:sz="0" w:space="0" w:color="auto"/>
                                                                                                                <w:right w:val="none" w:sz="0" w:space="0" w:color="auto"/>
                                                                                                              </w:divBdr>
                                                                                                              <w:divsChild>
                                                                                                                <w:div w:id="987711943">
                                                                                                                  <w:marLeft w:val="0"/>
                                                                                                                  <w:marRight w:val="0"/>
                                                                                                                  <w:marTop w:val="0"/>
                                                                                                                  <w:marBottom w:val="0"/>
                                                                                                                  <w:divBdr>
                                                                                                                    <w:top w:val="none" w:sz="0" w:space="0" w:color="auto"/>
                                                                                                                    <w:left w:val="none" w:sz="0" w:space="0" w:color="auto"/>
                                                                                                                    <w:bottom w:val="none" w:sz="0" w:space="0" w:color="auto"/>
                                                                                                                    <w:right w:val="none" w:sz="0" w:space="0" w:color="auto"/>
                                                                                                                  </w:divBdr>
                                                                                                                  <w:divsChild>
                                                                                                                    <w:div w:id="1452046806">
                                                                                                                      <w:marLeft w:val="0"/>
                                                                                                                      <w:marRight w:val="0"/>
                                                                                                                      <w:marTop w:val="0"/>
                                                                                                                      <w:marBottom w:val="0"/>
                                                                                                                      <w:divBdr>
                                                                                                                        <w:top w:val="none" w:sz="0" w:space="0" w:color="auto"/>
                                                                                                                        <w:left w:val="none" w:sz="0" w:space="0" w:color="auto"/>
                                                                                                                        <w:bottom w:val="none" w:sz="0" w:space="0" w:color="auto"/>
                                                                                                                        <w:right w:val="none" w:sz="0" w:space="0" w:color="auto"/>
                                                                                                                      </w:divBdr>
                                                                                                                      <w:divsChild>
                                                                                                                        <w:div w:id="1639872176">
                                                                                                                          <w:marLeft w:val="0"/>
                                                                                                                          <w:marRight w:val="0"/>
                                                                                                                          <w:marTop w:val="0"/>
                                                                                                                          <w:marBottom w:val="0"/>
                                                                                                                          <w:divBdr>
                                                                                                                            <w:top w:val="none" w:sz="0" w:space="0" w:color="auto"/>
                                                                                                                            <w:left w:val="none" w:sz="0" w:space="0" w:color="auto"/>
                                                                                                                            <w:bottom w:val="none" w:sz="0" w:space="0" w:color="auto"/>
                                                                                                                            <w:right w:val="none" w:sz="0" w:space="0" w:color="auto"/>
                                                                                                                          </w:divBdr>
                                                                                                                          <w:divsChild>
                                                                                                                            <w:div w:id="680743964">
                                                                                                                              <w:marLeft w:val="0"/>
                                                                                                                              <w:marRight w:val="0"/>
                                                                                                                              <w:marTop w:val="0"/>
                                                                                                                              <w:marBottom w:val="0"/>
                                                                                                                              <w:divBdr>
                                                                                                                                <w:top w:val="none" w:sz="0" w:space="0" w:color="auto"/>
                                                                                                                                <w:left w:val="none" w:sz="0" w:space="0" w:color="auto"/>
                                                                                                                                <w:bottom w:val="none" w:sz="0" w:space="0" w:color="auto"/>
                                                                                                                                <w:right w:val="none" w:sz="0" w:space="0" w:color="auto"/>
                                                                                                                              </w:divBdr>
                                                                                                                              <w:divsChild>
                                                                                                                                <w:div w:id="761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2488-E304-46B2-8512-0B80236E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Lysaght</dc:creator>
  <cp:lastModifiedBy>Lysaght</cp:lastModifiedBy>
  <cp:revision>16</cp:revision>
  <cp:lastPrinted>2013-02-26T07:54:00Z</cp:lastPrinted>
  <dcterms:created xsi:type="dcterms:W3CDTF">2014-04-29T02:55:00Z</dcterms:created>
  <dcterms:modified xsi:type="dcterms:W3CDTF">2014-04-29T09:50:00Z</dcterms:modified>
</cp:coreProperties>
</file>